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2D20" w14:textId="77777777" w:rsidR="00470AE4" w:rsidRPr="00C52452" w:rsidRDefault="00470AE4" w:rsidP="00470AE4">
      <w:pPr>
        <w:spacing w:line="276" w:lineRule="auto"/>
        <w:outlineLvl w:val="0"/>
        <w:rPr>
          <w:rFonts w:asciiTheme="minorHAnsi" w:hAnsiTheme="minorHAnsi" w:cstheme="minorHAnsi"/>
          <w:b/>
          <w:bCs/>
          <w:sz w:val="36"/>
          <w:szCs w:val="36"/>
        </w:rPr>
      </w:pPr>
      <w:bookmarkStart w:id="0" w:name="_Toc86673002"/>
      <w:r w:rsidRPr="00C52452">
        <w:rPr>
          <w:rFonts w:asciiTheme="minorHAnsi" w:hAnsiTheme="minorHAnsi" w:cstheme="minorHAnsi"/>
          <w:b/>
          <w:bCs/>
          <w:sz w:val="36"/>
          <w:szCs w:val="36"/>
        </w:rPr>
        <w:t>References</w:t>
      </w:r>
      <w:bookmarkEnd w:id="0"/>
    </w:p>
    <w:p w14:paraId="3A41B30A" w14:textId="77777777" w:rsidR="00470AE4" w:rsidRPr="00C52452" w:rsidRDefault="00470AE4" w:rsidP="00470AE4">
      <w:pPr>
        <w:spacing w:line="276" w:lineRule="auto"/>
        <w:rPr>
          <w:rFonts w:asciiTheme="minorHAnsi" w:hAnsiTheme="minorHAnsi" w:cstheme="minorHAnsi"/>
        </w:rPr>
      </w:pPr>
    </w:p>
    <w:p w14:paraId="5C89F0A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w:t>
      </w:r>
      <w:r w:rsidRPr="00C52452">
        <w:rPr>
          <w:rFonts w:asciiTheme="minorHAnsi" w:hAnsiTheme="minorHAnsi" w:cstheme="minorHAnsi"/>
        </w:rPr>
        <w:tab/>
        <w:t xml:space="preserve">Stewart B, Khanduri P, McCord C, Ohene-Yeboah M, Uranues S, Vega Rivera F, et al. Global disease burden of conditions requiring emergency surgery. </w:t>
      </w:r>
      <w:r w:rsidRPr="00C52452">
        <w:rPr>
          <w:rFonts w:asciiTheme="minorHAnsi" w:hAnsiTheme="minorHAnsi" w:cstheme="minorHAnsi"/>
          <w:i/>
        </w:rPr>
        <w:t>Br J Surg</w:t>
      </w:r>
      <w:r w:rsidRPr="00C52452">
        <w:rPr>
          <w:rFonts w:asciiTheme="minorHAnsi" w:hAnsiTheme="minorHAnsi" w:cstheme="minorHAnsi"/>
        </w:rPr>
        <w:t xml:space="preserve"> 2014;101(1):e9-22</w:t>
      </w:r>
    </w:p>
    <w:p w14:paraId="32E2245D" w14:textId="5DCBA659" w:rsidR="00470AE4" w:rsidRPr="00C52452" w:rsidRDefault="00470AE4" w:rsidP="00470AE4">
      <w:pPr>
        <w:spacing w:line="360" w:lineRule="auto"/>
        <w:ind w:left="851" w:hanging="851"/>
        <w:rPr>
          <w:rFonts w:eastAsia="Calibri"/>
        </w:rPr>
      </w:pPr>
      <w:r w:rsidRPr="439AF6A1">
        <w:rPr>
          <w:rFonts w:asciiTheme="minorHAnsi" w:hAnsiTheme="minorHAnsi" w:cstheme="minorBidi"/>
        </w:rPr>
        <w:t>2.</w:t>
      </w:r>
      <w:r>
        <w:tab/>
      </w:r>
      <w:r w:rsidRPr="439AF6A1">
        <w:rPr>
          <w:rFonts w:asciiTheme="minorHAnsi" w:hAnsiTheme="minorHAnsi" w:cstheme="minorBidi"/>
        </w:rPr>
        <w:t xml:space="preserve">Abercrombie J. </w:t>
      </w:r>
      <w:r w:rsidRPr="439AF6A1">
        <w:rPr>
          <w:rFonts w:asciiTheme="minorHAnsi" w:hAnsiTheme="minorHAnsi" w:cstheme="minorBidi"/>
          <w:i/>
        </w:rPr>
        <w:t>Getting it Right First Time (GiRFT) report: General Surgery</w:t>
      </w:r>
      <w:r w:rsidRPr="439AF6A1">
        <w:rPr>
          <w:rFonts w:asciiTheme="minorHAnsi" w:hAnsiTheme="minorHAnsi" w:cstheme="minorBidi"/>
        </w:rPr>
        <w:t xml:space="preserve"> 2017. </w:t>
      </w:r>
      <w:r w:rsidRPr="439AF6A1">
        <w:rPr>
          <w:rFonts w:asciiTheme="minorHAnsi" w:hAnsiTheme="minorHAnsi" w:cstheme="minorBidi"/>
          <w:color w:val="0563C1"/>
          <w:u w:val="single"/>
        </w:rPr>
        <w:t>http://gettingitrightfirsttime.co.uk/national-general-surgery-report-published-2/</w:t>
      </w:r>
      <w:r w:rsidR="439AF6A1" w:rsidRPr="439AF6A1">
        <w:rPr>
          <w:rFonts w:eastAsia="Calibri"/>
        </w:rPr>
        <w:t xml:space="preserve"> (accessed 20 April 2022)</w:t>
      </w:r>
    </w:p>
    <w:p w14:paraId="2899DAA1"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w:t>
      </w:r>
      <w:r w:rsidRPr="00C52452">
        <w:rPr>
          <w:rFonts w:asciiTheme="minorHAnsi" w:hAnsiTheme="minorHAnsi" w:cstheme="minorHAnsi"/>
        </w:rPr>
        <w:tab/>
        <w:t xml:space="preserve">Abbott TEF, Fowler AJ, Dobbs TD, Harrison EM, Gillies MA, Pearse RM. Frequency of surgical treatment and related hospital procedures in the UK: a national ecological study using hospital episode statistics. </w:t>
      </w:r>
      <w:bookmarkStart w:id="1" w:name="_Hlk86048979"/>
      <w:r w:rsidRPr="00C52452">
        <w:rPr>
          <w:rFonts w:asciiTheme="minorHAnsi" w:hAnsiTheme="minorHAnsi" w:cstheme="minorHAnsi"/>
          <w:i/>
        </w:rPr>
        <w:t>Br J Anaesth</w:t>
      </w:r>
      <w:r w:rsidRPr="00C52452">
        <w:rPr>
          <w:rFonts w:asciiTheme="minorHAnsi" w:hAnsiTheme="minorHAnsi" w:cstheme="minorHAnsi"/>
        </w:rPr>
        <w:t xml:space="preserve"> </w:t>
      </w:r>
      <w:bookmarkEnd w:id="1"/>
      <w:r w:rsidRPr="00C52452">
        <w:rPr>
          <w:rFonts w:asciiTheme="minorHAnsi" w:hAnsiTheme="minorHAnsi" w:cstheme="minorHAnsi"/>
        </w:rPr>
        <w:t>2017;119(2):249-57</w:t>
      </w:r>
    </w:p>
    <w:p w14:paraId="316519F9" w14:textId="6F65AEE6" w:rsidR="00470AE4" w:rsidRPr="00C52452" w:rsidRDefault="00470AE4" w:rsidP="00470AE4">
      <w:pPr>
        <w:spacing w:line="360" w:lineRule="auto"/>
        <w:ind w:left="851" w:hanging="851"/>
        <w:rPr>
          <w:rFonts w:asciiTheme="minorHAnsi" w:hAnsiTheme="minorHAnsi" w:cstheme="minorHAnsi"/>
          <w:highlight w:val="yellow"/>
        </w:rPr>
      </w:pPr>
      <w:r w:rsidRPr="00C52452">
        <w:rPr>
          <w:rFonts w:asciiTheme="minorHAnsi" w:hAnsiTheme="minorHAnsi" w:cstheme="minorHAnsi"/>
        </w:rPr>
        <w:t>4.</w:t>
      </w:r>
      <w:r w:rsidRPr="00C52452">
        <w:rPr>
          <w:rFonts w:asciiTheme="minorHAnsi" w:hAnsiTheme="minorHAnsi" w:cstheme="minorHAnsi"/>
        </w:rPr>
        <w:tab/>
        <w:t xml:space="preserve">Institute for Fiscal Studies. </w:t>
      </w:r>
      <w:r w:rsidRPr="00C52452">
        <w:rPr>
          <w:rFonts w:asciiTheme="minorHAnsi" w:hAnsiTheme="minorHAnsi" w:cstheme="minorHAnsi"/>
          <w:i/>
        </w:rPr>
        <w:t>Could NHS waiting lists really reach 13 million?</w:t>
      </w:r>
      <w:r w:rsidRPr="00C52452">
        <w:rPr>
          <w:rFonts w:asciiTheme="minorHAnsi" w:hAnsiTheme="minorHAnsi" w:cstheme="minorHAnsi"/>
        </w:rPr>
        <w:t xml:space="preserve"> Institute for Fiscal Studies, London. </w:t>
      </w:r>
      <w:r w:rsidRPr="00C52452">
        <w:rPr>
          <w:rFonts w:asciiTheme="minorHAnsi" w:hAnsiTheme="minorHAnsi" w:cstheme="minorHAnsi"/>
          <w:color w:val="0563C1" w:themeColor="hyperlink"/>
          <w:u w:val="single"/>
        </w:rPr>
        <w:t>https://ifs.org.uk/publications/15557</w:t>
      </w:r>
      <w:r w:rsidRPr="00C52452">
        <w:rPr>
          <w:rFonts w:asciiTheme="minorHAnsi" w:hAnsiTheme="minorHAnsi" w:cstheme="minorHAnsi"/>
        </w:rPr>
        <w:t xml:space="preserve">  (accessed August 8th, 2021)</w:t>
      </w:r>
    </w:p>
    <w:p w14:paraId="0EA223E0"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w:t>
      </w:r>
      <w:r w:rsidRPr="00C52452">
        <w:rPr>
          <w:rFonts w:asciiTheme="minorHAnsi" w:hAnsiTheme="minorHAnsi" w:cstheme="minorHAnsi"/>
        </w:rPr>
        <w:tab/>
        <w:t xml:space="preserve">Watson R, Crump H, Imison C, Currie C, Gaskins M. </w:t>
      </w:r>
      <w:r w:rsidRPr="00C52452">
        <w:rPr>
          <w:rFonts w:asciiTheme="minorHAnsi" w:hAnsiTheme="minorHAnsi" w:cstheme="minorHAnsi"/>
          <w:i/>
        </w:rPr>
        <w:t>Emergency general surgery: challenges and opportunities</w:t>
      </w:r>
      <w:r w:rsidRPr="00C52452">
        <w:rPr>
          <w:rFonts w:asciiTheme="minorHAnsi" w:hAnsiTheme="minorHAnsi" w:cstheme="minorHAnsi"/>
        </w:rPr>
        <w:t>. Nuffield Trust, London; 2016.</w:t>
      </w:r>
    </w:p>
    <w:p w14:paraId="7D47079C"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6.</w:t>
      </w:r>
      <w:r w:rsidRPr="00C52452">
        <w:rPr>
          <w:rFonts w:asciiTheme="minorHAnsi" w:hAnsiTheme="minorHAnsi" w:cstheme="minorHAnsi"/>
        </w:rPr>
        <w:tab/>
        <w:t xml:space="preserve">Wohlgemut JM, Ramsay G, Jansen JO. The Changing Face of Emergency General Surgery: A 20-year Analysis of Secular Trends in Demographics, Diagnoses, Operations, and Outcomes. </w:t>
      </w:r>
      <w:r w:rsidRPr="00C52452">
        <w:rPr>
          <w:rFonts w:asciiTheme="minorHAnsi" w:hAnsiTheme="minorHAnsi" w:cstheme="minorHAnsi"/>
          <w:i/>
        </w:rPr>
        <w:t>Ann Surg</w:t>
      </w:r>
      <w:r w:rsidRPr="00C52452">
        <w:rPr>
          <w:rFonts w:asciiTheme="minorHAnsi" w:hAnsiTheme="minorHAnsi" w:cstheme="minorHAnsi"/>
        </w:rPr>
        <w:t xml:space="preserve"> 2020;271(3):581-9</w:t>
      </w:r>
    </w:p>
    <w:p w14:paraId="28FBF791" w14:textId="5F9CE0D2"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7.</w:t>
      </w:r>
      <w:r w:rsidRPr="00C52452">
        <w:rPr>
          <w:rFonts w:asciiTheme="minorHAnsi" w:hAnsiTheme="minorHAnsi" w:cstheme="minorHAnsi"/>
        </w:rPr>
        <w:tab/>
        <w:t xml:space="preserve">The CODA Collaborative. A Randomized Trial Comparing Antibiotics with </w:t>
      </w:r>
      <w:r w:rsidR="00554E7D" w:rsidRPr="00C52452">
        <w:rPr>
          <w:rFonts w:asciiTheme="minorHAnsi" w:hAnsiTheme="minorHAnsi" w:cstheme="minorHAnsi"/>
        </w:rPr>
        <w:t>Appendicectomy</w:t>
      </w:r>
      <w:r w:rsidRPr="00C52452">
        <w:rPr>
          <w:rFonts w:asciiTheme="minorHAnsi" w:hAnsiTheme="minorHAnsi" w:cstheme="minorHAnsi"/>
        </w:rPr>
        <w:t xml:space="preserve"> for Appendicitis. </w:t>
      </w:r>
      <w:r w:rsidRPr="00C52452">
        <w:rPr>
          <w:rFonts w:asciiTheme="minorHAnsi" w:hAnsiTheme="minorHAnsi" w:cstheme="minorHAnsi"/>
          <w:i/>
        </w:rPr>
        <w:t>N Engl J Med</w:t>
      </w:r>
      <w:r w:rsidRPr="00C52452">
        <w:rPr>
          <w:rFonts w:asciiTheme="minorHAnsi" w:hAnsiTheme="minorHAnsi" w:cstheme="minorHAnsi"/>
        </w:rPr>
        <w:t xml:space="preserve"> 2020;383(20):1907-19</w:t>
      </w:r>
    </w:p>
    <w:p w14:paraId="65552DF2" w14:textId="77777777" w:rsidR="00470AE4" w:rsidRPr="0016428B" w:rsidRDefault="00470AE4" w:rsidP="00470AE4">
      <w:pPr>
        <w:spacing w:line="360" w:lineRule="auto"/>
        <w:ind w:left="851" w:hanging="851"/>
        <w:rPr>
          <w:rFonts w:asciiTheme="minorHAnsi" w:hAnsiTheme="minorHAnsi" w:cstheme="minorHAnsi"/>
          <w:lang w:val="fr-FR"/>
        </w:rPr>
      </w:pPr>
      <w:r w:rsidRPr="00C52452">
        <w:rPr>
          <w:rFonts w:asciiTheme="minorHAnsi" w:hAnsiTheme="minorHAnsi" w:cstheme="minorHAnsi"/>
        </w:rPr>
        <w:t>8.</w:t>
      </w:r>
      <w:r w:rsidRPr="00C52452">
        <w:rPr>
          <w:rFonts w:asciiTheme="minorHAnsi" w:hAnsiTheme="minorHAnsi" w:cstheme="minorHAnsi"/>
        </w:rPr>
        <w:tab/>
        <w:t xml:space="preserve">O'Leary DP, Walsh SM, Bolger J, Baban C, Humphreys H, O'Grady S, et al. A Randomized Clinical Trial Evaluating the Efficacy and Quality of Life of Antibiotic-only Treatment of Acute Uncomplicated Appendicitis: Results of the COMMA Trial. </w:t>
      </w:r>
      <w:r w:rsidRPr="0016428B">
        <w:rPr>
          <w:rFonts w:asciiTheme="minorHAnsi" w:hAnsiTheme="minorHAnsi" w:cstheme="minorHAnsi"/>
          <w:i/>
          <w:lang w:val="fr-FR"/>
        </w:rPr>
        <w:t>Ann Surg</w:t>
      </w:r>
      <w:r w:rsidRPr="0016428B">
        <w:rPr>
          <w:rFonts w:asciiTheme="minorHAnsi" w:hAnsiTheme="minorHAnsi" w:cstheme="minorHAnsi"/>
          <w:lang w:val="fr-FR"/>
        </w:rPr>
        <w:t xml:space="preserve"> 2021;274(2):240-7</w:t>
      </w:r>
    </w:p>
    <w:p w14:paraId="0FD08691" w14:textId="77777777" w:rsidR="00470AE4" w:rsidRPr="00C52452" w:rsidRDefault="00470AE4" w:rsidP="00470AE4">
      <w:pPr>
        <w:spacing w:line="360" w:lineRule="auto"/>
        <w:ind w:left="851" w:hanging="851"/>
        <w:rPr>
          <w:rFonts w:asciiTheme="minorHAnsi" w:hAnsiTheme="minorHAnsi" w:cstheme="minorHAnsi"/>
        </w:rPr>
      </w:pPr>
      <w:r w:rsidRPr="0016428B">
        <w:rPr>
          <w:rFonts w:asciiTheme="minorHAnsi" w:hAnsiTheme="minorHAnsi" w:cstheme="minorHAnsi"/>
          <w:lang w:val="fr-FR"/>
        </w:rPr>
        <w:t>9.</w:t>
      </w:r>
      <w:r w:rsidRPr="0016428B">
        <w:rPr>
          <w:rFonts w:asciiTheme="minorHAnsi" w:hAnsiTheme="minorHAnsi" w:cstheme="minorHAnsi"/>
          <w:lang w:val="fr-FR"/>
        </w:rPr>
        <w:tab/>
        <w:t xml:space="preserve">Siddiqui T, MacDonald A, Chong PS, Jenkins JT. </w:t>
      </w:r>
      <w:r w:rsidRPr="00C52452">
        <w:rPr>
          <w:rFonts w:asciiTheme="minorHAnsi" w:hAnsiTheme="minorHAnsi" w:cstheme="minorHAnsi"/>
        </w:rPr>
        <w:t xml:space="preserve">Early versus delayed laparoscopic cholecystectomy for acute cholecystitis: a meta-analysis of randomized clinical trials. </w:t>
      </w:r>
      <w:r w:rsidRPr="00C52452">
        <w:rPr>
          <w:rFonts w:asciiTheme="minorHAnsi" w:hAnsiTheme="minorHAnsi" w:cstheme="minorHAnsi"/>
          <w:i/>
        </w:rPr>
        <w:t>Am J Surg</w:t>
      </w:r>
      <w:r w:rsidRPr="00C52452">
        <w:rPr>
          <w:rFonts w:asciiTheme="minorHAnsi" w:hAnsiTheme="minorHAnsi" w:cstheme="minorHAnsi"/>
        </w:rPr>
        <w:t xml:space="preserve"> 2008;195(1):40-7</w:t>
      </w:r>
    </w:p>
    <w:p w14:paraId="4DC7207F"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10.</w:t>
      </w:r>
      <w:r w:rsidRPr="00C52452">
        <w:rPr>
          <w:rFonts w:asciiTheme="minorHAnsi" w:hAnsiTheme="minorHAnsi" w:cstheme="minorHAnsi"/>
        </w:rPr>
        <w:tab/>
        <w:t xml:space="preserve">Roulin D, Saadi A, Di Mare L, Demartines N, Halkic N. Early Versus Delayed Cholecystectomy for Acute Cholecystitis, Are the 72 hours Still the Rule?: A Randomized Trial. </w:t>
      </w:r>
      <w:r w:rsidRPr="00C52452">
        <w:rPr>
          <w:rFonts w:asciiTheme="minorHAnsi" w:hAnsiTheme="minorHAnsi" w:cstheme="minorHAnsi"/>
          <w:i/>
        </w:rPr>
        <w:t>Ann Surg</w:t>
      </w:r>
      <w:r w:rsidRPr="00C52452">
        <w:rPr>
          <w:rFonts w:asciiTheme="minorHAnsi" w:hAnsiTheme="minorHAnsi" w:cstheme="minorHAnsi"/>
        </w:rPr>
        <w:t xml:space="preserve"> 2016;264(5):717-22</w:t>
      </w:r>
    </w:p>
    <w:p w14:paraId="6B368E56"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11.</w:t>
      </w:r>
      <w:r w:rsidRPr="00C52452">
        <w:rPr>
          <w:rFonts w:asciiTheme="minorHAnsi" w:hAnsiTheme="minorHAnsi" w:cstheme="minorHAnsi"/>
        </w:rPr>
        <w:tab/>
        <w:t xml:space="preserve">Gutt CN, Encke J, Koninger J, Harnoss JC, Weigand K, Kipfmuller K, et al. Acute cholecystitis: early versus delayed cholecystectomy, a multicenter randomized trial (ACDC study, NCT00447304). </w:t>
      </w:r>
      <w:r w:rsidRPr="00C52452">
        <w:rPr>
          <w:rFonts w:asciiTheme="minorHAnsi" w:hAnsiTheme="minorHAnsi" w:cstheme="minorHAnsi"/>
          <w:i/>
        </w:rPr>
        <w:t>Ann Surg</w:t>
      </w:r>
      <w:r w:rsidRPr="00C52452">
        <w:rPr>
          <w:rFonts w:asciiTheme="minorHAnsi" w:hAnsiTheme="minorHAnsi" w:cstheme="minorHAnsi"/>
        </w:rPr>
        <w:t xml:space="preserve"> 2013;258(3):385-93</w:t>
      </w:r>
    </w:p>
    <w:p w14:paraId="26FF7028"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12.</w:t>
      </w:r>
      <w:r w:rsidRPr="00C52452">
        <w:rPr>
          <w:rFonts w:asciiTheme="minorHAnsi" w:hAnsiTheme="minorHAnsi" w:cstheme="minorHAnsi"/>
        </w:rPr>
        <w:tab/>
        <w:t xml:space="preserve">Gargya V, Smolarek S, Walsh TN. Concerns About Acute Cholecystitis: Early Versus Delayed Cholecystectomy: A Multicenter Randomized Trial. </w:t>
      </w:r>
      <w:r w:rsidRPr="00C52452">
        <w:rPr>
          <w:rFonts w:asciiTheme="minorHAnsi" w:hAnsiTheme="minorHAnsi" w:cstheme="minorHAnsi"/>
          <w:i/>
        </w:rPr>
        <w:t>Ann Surg</w:t>
      </w:r>
      <w:r w:rsidRPr="00C52452">
        <w:rPr>
          <w:rFonts w:asciiTheme="minorHAnsi" w:hAnsiTheme="minorHAnsi" w:cstheme="minorHAnsi"/>
        </w:rPr>
        <w:t xml:space="preserve"> 2015;262(2):e63-4</w:t>
      </w:r>
    </w:p>
    <w:p w14:paraId="307E6C33"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lastRenderedPageBreak/>
        <w:t>13.</w:t>
      </w:r>
      <w:r w:rsidRPr="00C52452">
        <w:rPr>
          <w:rFonts w:asciiTheme="minorHAnsi" w:hAnsiTheme="minorHAnsi" w:cstheme="minorHAnsi"/>
        </w:rPr>
        <w:tab/>
        <w:t xml:space="preserve">Harnoss JC, Zelienka I, Probst P, Grummich K, Muller-Lantzsch C, Harnoss JM, et al. Antibiotics Versus Surgical Therapy for Uncomplicated Appendicitis: Systematic Review and Meta-analysis of Controlled Trials (PROSPERO 2015: CRD42015016882). </w:t>
      </w:r>
      <w:r w:rsidRPr="00C52452">
        <w:rPr>
          <w:rFonts w:asciiTheme="minorHAnsi" w:hAnsiTheme="minorHAnsi" w:cstheme="minorHAnsi"/>
          <w:i/>
        </w:rPr>
        <w:t>Ann Surg</w:t>
      </w:r>
      <w:r w:rsidRPr="00C52452">
        <w:rPr>
          <w:rFonts w:asciiTheme="minorHAnsi" w:hAnsiTheme="minorHAnsi" w:cstheme="minorHAnsi"/>
        </w:rPr>
        <w:t xml:space="preserve"> 2017;265(5):889-900</w:t>
      </w:r>
    </w:p>
    <w:p w14:paraId="7D09A6CF" w14:textId="77777777" w:rsidR="00470AE4" w:rsidRPr="00404610" w:rsidRDefault="00470AE4" w:rsidP="00470AE4">
      <w:pPr>
        <w:spacing w:line="360" w:lineRule="auto"/>
        <w:ind w:left="851" w:hanging="851"/>
        <w:rPr>
          <w:rFonts w:asciiTheme="minorHAnsi" w:hAnsiTheme="minorHAnsi" w:cstheme="minorHAnsi"/>
          <w:lang w:val="de-DE"/>
        </w:rPr>
      </w:pPr>
      <w:r w:rsidRPr="00C52452">
        <w:rPr>
          <w:rFonts w:asciiTheme="minorHAnsi" w:hAnsiTheme="minorHAnsi" w:cstheme="minorHAnsi"/>
        </w:rPr>
        <w:t>14.</w:t>
      </w:r>
      <w:r w:rsidRPr="00C52452">
        <w:rPr>
          <w:rFonts w:asciiTheme="minorHAnsi" w:hAnsiTheme="minorHAnsi" w:cstheme="minorHAnsi"/>
        </w:rPr>
        <w:tab/>
        <w:t xml:space="preserve">Thornell A, Angenete E, Bisgaard T, Bock D, Burcharth J, Heath J, et al. Laparoscopic Lavage for Perforated Diverticulitis With Purulent Peritonitis: A Randomized Trial. </w:t>
      </w:r>
      <w:r w:rsidRPr="00404610">
        <w:rPr>
          <w:rFonts w:asciiTheme="minorHAnsi" w:hAnsiTheme="minorHAnsi" w:cstheme="minorHAnsi"/>
          <w:i/>
          <w:lang w:val="de-DE"/>
        </w:rPr>
        <w:t>Ann Intern Med</w:t>
      </w:r>
      <w:r w:rsidRPr="00404610">
        <w:rPr>
          <w:rFonts w:asciiTheme="minorHAnsi" w:hAnsiTheme="minorHAnsi" w:cstheme="minorHAnsi"/>
          <w:lang w:val="de-DE"/>
        </w:rPr>
        <w:t xml:space="preserve"> 2016;164(3):137-45</w:t>
      </w:r>
    </w:p>
    <w:p w14:paraId="76513B92" w14:textId="77777777" w:rsidR="00470AE4" w:rsidRPr="00C52452" w:rsidRDefault="00470AE4" w:rsidP="00470AE4">
      <w:pPr>
        <w:spacing w:line="360" w:lineRule="auto"/>
        <w:ind w:left="851" w:hanging="851"/>
        <w:rPr>
          <w:rFonts w:asciiTheme="minorHAnsi" w:hAnsiTheme="minorHAnsi" w:cstheme="minorHAnsi"/>
        </w:rPr>
      </w:pPr>
      <w:r w:rsidRPr="00404610">
        <w:rPr>
          <w:rFonts w:asciiTheme="minorHAnsi" w:hAnsiTheme="minorHAnsi" w:cstheme="minorHAnsi"/>
          <w:lang w:val="de-DE"/>
        </w:rPr>
        <w:t>15.</w:t>
      </w:r>
      <w:r w:rsidRPr="00404610">
        <w:rPr>
          <w:rFonts w:asciiTheme="minorHAnsi" w:hAnsiTheme="minorHAnsi" w:cstheme="minorHAnsi"/>
          <w:lang w:val="de-DE"/>
        </w:rPr>
        <w:tab/>
        <w:t xml:space="preserve">Azhar N, Johanssen A, Sundstrom T, Folkesson J, Wallon C, Korner H, et al. </w:t>
      </w:r>
      <w:r w:rsidRPr="00C52452">
        <w:rPr>
          <w:rFonts w:asciiTheme="minorHAnsi" w:hAnsiTheme="minorHAnsi" w:cstheme="minorHAnsi"/>
        </w:rPr>
        <w:t xml:space="preserve">Laparoscopic Lavage vs Primary Resection for Acute Perforated Diverticulitis: Long-term Outcomes From the Scandinavian Diverticulitis (SCANDIV) Randomized Clinical Trial. </w:t>
      </w:r>
      <w:r w:rsidRPr="00C52452">
        <w:rPr>
          <w:rFonts w:asciiTheme="minorHAnsi" w:hAnsiTheme="minorHAnsi" w:cstheme="minorHAnsi"/>
          <w:i/>
        </w:rPr>
        <w:t>JAMA Surg</w:t>
      </w:r>
      <w:r w:rsidRPr="00C52452">
        <w:rPr>
          <w:rFonts w:asciiTheme="minorHAnsi" w:hAnsiTheme="minorHAnsi" w:cstheme="minorHAnsi"/>
        </w:rPr>
        <w:t xml:space="preserve"> 2021;156(2):121-7</w:t>
      </w:r>
    </w:p>
    <w:p w14:paraId="2567514B"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16.</w:t>
      </w:r>
      <w:r w:rsidRPr="00C52452">
        <w:rPr>
          <w:rFonts w:asciiTheme="minorHAnsi" w:hAnsiTheme="minorHAnsi" w:cstheme="minorHAnsi"/>
        </w:rPr>
        <w:tab/>
        <w:t xml:space="preserve">EMSurg Collaborators. Methodological overview of systematic reviews to establish the evidence base for emergency general surgery. </w:t>
      </w:r>
      <w:r w:rsidRPr="00C52452">
        <w:rPr>
          <w:rFonts w:asciiTheme="minorHAnsi" w:hAnsiTheme="minorHAnsi" w:cstheme="minorHAnsi"/>
          <w:i/>
        </w:rPr>
        <w:t>Br J Surg</w:t>
      </w:r>
      <w:r w:rsidRPr="00C52452">
        <w:rPr>
          <w:rFonts w:asciiTheme="minorHAnsi" w:hAnsiTheme="minorHAnsi" w:cstheme="minorHAnsi"/>
        </w:rPr>
        <w:t xml:space="preserve"> 2017;104(5):513-24</w:t>
      </w:r>
    </w:p>
    <w:p w14:paraId="07A66A7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17.</w:t>
      </w:r>
      <w:r w:rsidRPr="00C52452">
        <w:rPr>
          <w:rFonts w:asciiTheme="minorHAnsi" w:hAnsiTheme="minorHAnsi" w:cstheme="minorHAnsi"/>
        </w:rPr>
        <w:tab/>
        <w:t xml:space="preserve">Cao AM, Eslick GD, Cox MR. Early laparoscopic cholecystectomy is superior to delayed acute cholecystitis: a meta-analysis of case-control studies. </w:t>
      </w:r>
      <w:r w:rsidRPr="00C52452">
        <w:rPr>
          <w:rFonts w:asciiTheme="minorHAnsi" w:hAnsiTheme="minorHAnsi" w:cstheme="minorHAnsi"/>
          <w:i/>
        </w:rPr>
        <w:t>Surg Endosc</w:t>
      </w:r>
      <w:r w:rsidRPr="00C52452">
        <w:rPr>
          <w:rFonts w:asciiTheme="minorHAnsi" w:hAnsiTheme="minorHAnsi" w:cstheme="minorHAnsi"/>
        </w:rPr>
        <w:t xml:space="preserve"> 2016;30(3):1172-82</w:t>
      </w:r>
    </w:p>
    <w:p w14:paraId="164EFDE5"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18.</w:t>
      </w:r>
      <w:r w:rsidRPr="00C52452">
        <w:rPr>
          <w:rFonts w:asciiTheme="minorHAnsi" w:hAnsiTheme="minorHAnsi" w:cstheme="minorHAnsi"/>
        </w:rPr>
        <w:tab/>
        <w:t xml:space="preserve">Baiocchi M, Cheng J, Small DS. Instrumental variable methods for causal inference. </w:t>
      </w:r>
      <w:r w:rsidRPr="00C52452">
        <w:rPr>
          <w:rFonts w:asciiTheme="minorHAnsi" w:hAnsiTheme="minorHAnsi" w:cstheme="minorHAnsi"/>
          <w:i/>
        </w:rPr>
        <w:t>Stat Med</w:t>
      </w:r>
      <w:r w:rsidRPr="00C52452">
        <w:rPr>
          <w:rFonts w:asciiTheme="minorHAnsi" w:hAnsiTheme="minorHAnsi" w:cstheme="minorHAnsi"/>
        </w:rPr>
        <w:t xml:space="preserve"> 2014;33(13):2297-340</w:t>
      </w:r>
    </w:p>
    <w:p w14:paraId="6F6F098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19.</w:t>
      </w:r>
      <w:r w:rsidRPr="00C52452">
        <w:rPr>
          <w:rFonts w:asciiTheme="minorHAnsi" w:hAnsiTheme="minorHAnsi" w:cstheme="minorHAnsi"/>
        </w:rPr>
        <w:tab/>
        <w:t xml:space="preserve">Brookhart MA, Schneeweiss S. Preference-based instrumental variable methods for the estimation of treatment effects: assessing validity and interpreting results. </w:t>
      </w:r>
      <w:r w:rsidRPr="00C52452">
        <w:rPr>
          <w:rFonts w:asciiTheme="minorHAnsi" w:hAnsiTheme="minorHAnsi" w:cstheme="minorHAnsi"/>
          <w:i/>
        </w:rPr>
        <w:t>Int J Biostat</w:t>
      </w:r>
      <w:r w:rsidRPr="00C52452">
        <w:rPr>
          <w:rFonts w:asciiTheme="minorHAnsi" w:hAnsiTheme="minorHAnsi" w:cstheme="minorHAnsi"/>
        </w:rPr>
        <w:t xml:space="preserve"> 2007;3(1):Article 14</w:t>
      </w:r>
    </w:p>
    <w:p w14:paraId="11CDDAB0"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20.</w:t>
      </w:r>
      <w:r w:rsidRPr="00C52452">
        <w:rPr>
          <w:rFonts w:asciiTheme="minorHAnsi" w:hAnsiTheme="minorHAnsi" w:cstheme="minorHAnsi"/>
        </w:rPr>
        <w:tab/>
        <w:t xml:space="preserve">Keele L, Sharoky C, Sellers M, Wirtalla C, Kelz R. An Instrumental Variables Design for the Effect of Emergency General Surgery. </w:t>
      </w:r>
      <w:r w:rsidRPr="00C52452">
        <w:rPr>
          <w:rFonts w:asciiTheme="minorHAnsi" w:hAnsiTheme="minorHAnsi" w:cstheme="minorHAnsi"/>
          <w:i/>
        </w:rPr>
        <w:t>Epidemiologic Methods</w:t>
      </w:r>
      <w:r w:rsidRPr="00C52452">
        <w:rPr>
          <w:rFonts w:asciiTheme="minorHAnsi" w:hAnsiTheme="minorHAnsi" w:cstheme="minorHAnsi"/>
        </w:rPr>
        <w:t xml:space="preserve"> 2018;7(1):20170012</w:t>
      </w:r>
    </w:p>
    <w:p w14:paraId="214B469D" w14:textId="2C8E684D" w:rsidR="00470AE4" w:rsidRPr="00C52452" w:rsidRDefault="00470AE4" w:rsidP="00470AE4">
      <w:pPr>
        <w:spacing w:line="360" w:lineRule="auto"/>
        <w:ind w:left="851" w:hanging="851"/>
        <w:rPr>
          <w:rFonts w:asciiTheme="minorHAnsi" w:hAnsiTheme="minorHAnsi" w:cstheme="minorBidi"/>
        </w:rPr>
      </w:pPr>
      <w:r w:rsidRPr="339E1064">
        <w:rPr>
          <w:rFonts w:asciiTheme="minorHAnsi" w:hAnsiTheme="minorHAnsi" w:cstheme="minorBidi"/>
        </w:rPr>
        <w:t>21.</w:t>
      </w:r>
      <w:r>
        <w:tab/>
      </w:r>
      <w:r w:rsidRPr="339E1064">
        <w:rPr>
          <w:rFonts w:asciiTheme="minorHAnsi" w:hAnsiTheme="minorHAnsi" w:cstheme="minorBidi"/>
        </w:rPr>
        <w:t xml:space="preserve">Javanmard-Emamghissi H, Hollyman M, Boyd-Carson H, Doleman B, Adiamah A, Lund JN, et al. Antibiotics as first-line alternative to appendicectomy in adult appendicitis: 90-day follow-up from a prospective, multicentre cohort study. </w:t>
      </w:r>
      <w:r w:rsidRPr="339E1064">
        <w:rPr>
          <w:rFonts w:asciiTheme="minorHAnsi" w:hAnsiTheme="minorHAnsi" w:cstheme="minorBidi"/>
          <w:i/>
          <w:iCs/>
        </w:rPr>
        <w:t>Br J Surg</w:t>
      </w:r>
      <w:r w:rsidRPr="339E1064">
        <w:rPr>
          <w:rFonts w:asciiTheme="minorHAnsi" w:hAnsiTheme="minorHAnsi" w:cstheme="minorBidi"/>
        </w:rPr>
        <w:t xml:space="preserve"> </w:t>
      </w:r>
      <w:r w:rsidR="339E1064" w:rsidRPr="339E1064">
        <w:rPr>
          <w:rFonts w:asciiTheme="minorHAnsi" w:hAnsiTheme="minorHAnsi" w:cstheme="minorBidi"/>
        </w:rPr>
        <w:t>2021;108(11):1351-9.</w:t>
      </w:r>
      <w:r w:rsidRPr="339E1064">
        <w:rPr>
          <w:rFonts w:asciiTheme="minorHAnsi" w:hAnsiTheme="minorHAnsi" w:cstheme="minorBidi"/>
        </w:rPr>
        <w:t xml:space="preserve"> </w:t>
      </w:r>
    </w:p>
    <w:p w14:paraId="5FE0C31C" w14:textId="11E64D89"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22.</w:t>
      </w:r>
      <w:r w:rsidRPr="00C52452">
        <w:rPr>
          <w:rFonts w:asciiTheme="minorHAnsi" w:hAnsiTheme="minorHAnsi" w:cstheme="minorHAnsi"/>
        </w:rPr>
        <w:tab/>
        <w:t xml:space="preserve">Sugiura K, Suzuki K, Umeyama T, Omagari K, Hashimoto T, Tamura A. Cost-effectiveness analysis of initial nonoperative management versus emergency laparoscopic </w:t>
      </w:r>
      <w:r w:rsidR="00554E7D" w:rsidRPr="00C52452">
        <w:rPr>
          <w:rFonts w:asciiTheme="minorHAnsi" w:hAnsiTheme="minorHAnsi" w:cstheme="minorHAnsi"/>
        </w:rPr>
        <w:t>appendicectomy</w:t>
      </w:r>
      <w:r w:rsidRPr="00C52452">
        <w:rPr>
          <w:rFonts w:asciiTheme="minorHAnsi" w:hAnsiTheme="minorHAnsi" w:cstheme="minorHAnsi"/>
        </w:rPr>
        <w:t xml:space="preserve"> for acute complicated appendicitis. </w:t>
      </w:r>
      <w:r w:rsidRPr="00C52452">
        <w:rPr>
          <w:rFonts w:asciiTheme="minorHAnsi" w:hAnsiTheme="minorHAnsi" w:cstheme="minorHAnsi"/>
          <w:i/>
        </w:rPr>
        <w:t>BMC Health Serv Res</w:t>
      </w:r>
      <w:r w:rsidRPr="00C52452">
        <w:rPr>
          <w:rFonts w:asciiTheme="minorHAnsi" w:hAnsiTheme="minorHAnsi" w:cstheme="minorHAnsi"/>
        </w:rPr>
        <w:t xml:space="preserve"> 2020;20(1):1019</w:t>
      </w:r>
    </w:p>
    <w:p w14:paraId="4CA9ED5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23.</w:t>
      </w:r>
      <w:r w:rsidRPr="00C52452">
        <w:rPr>
          <w:rFonts w:asciiTheme="minorHAnsi" w:hAnsiTheme="minorHAnsi" w:cstheme="minorHAnsi"/>
        </w:rPr>
        <w:tab/>
        <w:t xml:space="preserve">Sippola S, Gronroos J, Tuominen R, Paajanen H, Rautio T, Nordstrom P, et al. Economic evaluation of antibiotic therapy versus appendicectomy for the treatment of uncomplicated acute appendicitis from the APPAC randomized clinical trial. </w:t>
      </w:r>
      <w:r w:rsidRPr="00C52452">
        <w:rPr>
          <w:rFonts w:asciiTheme="minorHAnsi" w:hAnsiTheme="minorHAnsi" w:cstheme="minorHAnsi"/>
          <w:i/>
        </w:rPr>
        <w:t>Br J Surg</w:t>
      </w:r>
      <w:r w:rsidRPr="00C52452">
        <w:rPr>
          <w:rFonts w:asciiTheme="minorHAnsi" w:hAnsiTheme="minorHAnsi" w:cstheme="minorHAnsi"/>
        </w:rPr>
        <w:t xml:space="preserve"> 2017;104(10):1355-61</w:t>
      </w:r>
    </w:p>
    <w:p w14:paraId="2E0369EB" w14:textId="6BE6CE72"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24.</w:t>
      </w:r>
      <w:r w:rsidRPr="00C52452">
        <w:rPr>
          <w:rFonts w:asciiTheme="minorHAnsi" w:hAnsiTheme="minorHAnsi" w:cstheme="minorHAnsi"/>
        </w:rPr>
        <w:tab/>
        <w:t xml:space="preserve">Wu JX, Dawes AJ, Sacks GD, Brunicardi FC, Keeler EB. Cost effectiveness of nonoperative management versus laparoscopic </w:t>
      </w:r>
      <w:r w:rsidR="00554E7D" w:rsidRPr="00C52452">
        <w:rPr>
          <w:rFonts w:asciiTheme="minorHAnsi" w:hAnsiTheme="minorHAnsi" w:cstheme="minorHAnsi"/>
        </w:rPr>
        <w:t>appendicectomy</w:t>
      </w:r>
      <w:r w:rsidRPr="00C52452">
        <w:rPr>
          <w:rFonts w:asciiTheme="minorHAnsi" w:hAnsiTheme="minorHAnsi" w:cstheme="minorHAnsi"/>
        </w:rPr>
        <w:t xml:space="preserve"> for acute uncomplicated appendicitis. </w:t>
      </w:r>
      <w:r w:rsidRPr="00C52452">
        <w:rPr>
          <w:rFonts w:asciiTheme="minorHAnsi" w:hAnsiTheme="minorHAnsi" w:cstheme="minorHAnsi"/>
          <w:i/>
        </w:rPr>
        <w:t>Surgery</w:t>
      </w:r>
      <w:r w:rsidRPr="00C52452">
        <w:rPr>
          <w:rFonts w:asciiTheme="minorHAnsi" w:hAnsiTheme="minorHAnsi" w:cstheme="minorHAnsi"/>
        </w:rPr>
        <w:t xml:space="preserve"> 2015;158(3):712-21</w:t>
      </w:r>
    </w:p>
    <w:p w14:paraId="54031624"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25.</w:t>
      </w:r>
      <w:r w:rsidRPr="00C52452">
        <w:rPr>
          <w:rFonts w:asciiTheme="minorHAnsi" w:hAnsiTheme="minorHAnsi" w:cstheme="minorHAnsi"/>
        </w:rPr>
        <w:tab/>
        <w:t xml:space="preserve">Sutton AJ, Vohra RS, Hollyman M, Marriott PJ, Buja A, Alderson D, et al. Cost-effectiveness of emergency versus delayed laparoscopic cholecystectomy for acute gallbladder pathology. </w:t>
      </w:r>
      <w:r w:rsidRPr="00C52452">
        <w:rPr>
          <w:rFonts w:asciiTheme="minorHAnsi" w:hAnsiTheme="minorHAnsi" w:cstheme="minorHAnsi"/>
          <w:i/>
        </w:rPr>
        <w:t>Br J Surg</w:t>
      </w:r>
      <w:r w:rsidRPr="00C52452">
        <w:rPr>
          <w:rFonts w:asciiTheme="minorHAnsi" w:hAnsiTheme="minorHAnsi" w:cstheme="minorHAnsi"/>
        </w:rPr>
        <w:t xml:space="preserve"> 2017;104(1):98-107</w:t>
      </w:r>
    </w:p>
    <w:p w14:paraId="15753EA5"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26.</w:t>
      </w:r>
      <w:r w:rsidRPr="00C52452">
        <w:rPr>
          <w:rFonts w:asciiTheme="minorHAnsi" w:hAnsiTheme="minorHAnsi" w:cstheme="minorHAnsi"/>
        </w:rPr>
        <w:tab/>
        <w:t xml:space="preserve">Morris S, Gurusamy KS, Patel N, Davidson BR. Cost-effectiveness of early laparoscopic cholecystectomy for mild acute gallstone pancreatitis. </w:t>
      </w:r>
      <w:r w:rsidRPr="00C52452">
        <w:rPr>
          <w:rFonts w:asciiTheme="minorHAnsi" w:hAnsiTheme="minorHAnsi" w:cstheme="minorHAnsi"/>
          <w:i/>
        </w:rPr>
        <w:t>Br J Surg</w:t>
      </w:r>
      <w:r w:rsidRPr="00C52452">
        <w:rPr>
          <w:rFonts w:asciiTheme="minorHAnsi" w:hAnsiTheme="minorHAnsi" w:cstheme="minorHAnsi"/>
        </w:rPr>
        <w:t xml:space="preserve"> 2014;101(7):828-35</w:t>
      </w:r>
    </w:p>
    <w:p w14:paraId="4DF0F211"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27.</w:t>
      </w:r>
      <w:r w:rsidRPr="00C52452">
        <w:rPr>
          <w:rFonts w:asciiTheme="minorHAnsi" w:hAnsiTheme="minorHAnsi" w:cstheme="minorHAnsi"/>
        </w:rPr>
        <w:tab/>
        <w:t xml:space="preserve">Macafee DA, Humes DJ, Bouliotis G, Beckingham IJ, Whynes DK, Lobo DN. Prospective randomized trial using cost-utility analysis of early versus delayed laparoscopic cholecystectomy for acute gallbladder disease. </w:t>
      </w:r>
      <w:r w:rsidRPr="00C52452">
        <w:rPr>
          <w:rFonts w:asciiTheme="minorHAnsi" w:hAnsiTheme="minorHAnsi" w:cstheme="minorHAnsi"/>
          <w:i/>
        </w:rPr>
        <w:t>Br J Surg</w:t>
      </w:r>
      <w:r w:rsidRPr="00C52452">
        <w:rPr>
          <w:rFonts w:asciiTheme="minorHAnsi" w:hAnsiTheme="minorHAnsi" w:cstheme="minorHAnsi"/>
        </w:rPr>
        <w:t xml:space="preserve"> 2009;96(9):1031-40</w:t>
      </w:r>
    </w:p>
    <w:p w14:paraId="2F8363DF"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28.</w:t>
      </w:r>
      <w:r w:rsidRPr="00C52452">
        <w:rPr>
          <w:rFonts w:asciiTheme="minorHAnsi" w:hAnsiTheme="minorHAnsi" w:cstheme="minorHAnsi"/>
        </w:rPr>
        <w:tab/>
      </w:r>
      <w:bookmarkStart w:id="2" w:name="_Hlk86050436"/>
      <w:r w:rsidRPr="00C52452">
        <w:rPr>
          <w:rFonts w:asciiTheme="minorHAnsi" w:hAnsiTheme="minorHAnsi" w:cstheme="minorHAnsi"/>
        </w:rPr>
        <w:t>Royal College of Surgeons of England</w:t>
      </w:r>
      <w:bookmarkEnd w:id="2"/>
      <w:r w:rsidRPr="00C52452">
        <w:rPr>
          <w:rFonts w:asciiTheme="minorHAnsi" w:hAnsiTheme="minorHAnsi" w:cstheme="minorHAnsi"/>
        </w:rPr>
        <w:t xml:space="preserve">, Age UK. </w:t>
      </w:r>
      <w:r w:rsidRPr="00C52452">
        <w:rPr>
          <w:rFonts w:asciiTheme="minorHAnsi" w:hAnsiTheme="minorHAnsi" w:cstheme="minorHAnsi"/>
          <w:i/>
        </w:rPr>
        <w:t>Access all ages: Assessing the impact of age on access to surgical treatment.</w:t>
      </w:r>
      <w:r w:rsidRPr="00C52452">
        <w:rPr>
          <w:rFonts w:asciiTheme="minorHAnsi" w:hAnsiTheme="minorHAnsi" w:cstheme="minorHAnsi"/>
        </w:rPr>
        <w:t xml:space="preserve"> London: Royal College of Surgeons of England; 2012</w:t>
      </w:r>
    </w:p>
    <w:p w14:paraId="5E9B38D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29.</w:t>
      </w:r>
      <w:r w:rsidRPr="00C52452">
        <w:rPr>
          <w:rFonts w:asciiTheme="minorHAnsi" w:hAnsiTheme="minorHAnsi" w:cstheme="minorHAnsi"/>
        </w:rPr>
        <w:tab/>
        <w:t xml:space="preserve">Royal College of Surgeons of England, Age UK. </w:t>
      </w:r>
      <w:r w:rsidRPr="00C52452">
        <w:rPr>
          <w:rFonts w:asciiTheme="minorHAnsi" w:hAnsiTheme="minorHAnsi" w:cstheme="minorHAnsi"/>
          <w:i/>
        </w:rPr>
        <w:t>Access all ages 2: exploring variations in access to surgery among older patients</w:t>
      </w:r>
      <w:r w:rsidRPr="00C52452">
        <w:rPr>
          <w:rFonts w:asciiTheme="minorHAnsi" w:hAnsiTheme="minorHAnsi" w:cstheme="minorHAnsi"/>
        </w:rPr>
        <w:t>. London: Royal College of Surgeons of England; 2014</w:t>
      </w:r>
    </w:p>
    <w:p w14:paraId="03E0F10B" w14:textId="3F4A7706" w:rsidR="00470AE4" w:rsidRPr="00C52452" w:rsidRDefault="00470AE4" w:rsidP="00470AE4">
      <w:pPr>
        <w:spacing w:line="360" w:lineRule="auto"/>
        <w:ind w:left="851" w:hanging="851"/>
        <w:rPr>
          <w:rFonts w:asciiTheme="minorHAnsi" w:hAnsiTheme="minorHAnsi" w:cstheme="minorBidi"/>
        </w:rPr>
      </w:pPr>
      <w:r w:rsidRPr="23E33334">
        <w:rPr>
          <w:rFonts w:asciiTheme="minorHAnsi" w:hAnsiTheme="minorHAnsi" w:cstheme="minorBidi"/>
        </w:rPr>
        <w:t>30.</w:t>
      </w:r>
      <w:r>
        <w:tab/>
      </w:r>
      <w:r w:rsidRPr="23E33334">
        <w:rPr>
          <w:rFonts w:asciiTheme="minorHAnsi" w:hAnsiTheme="minorHAnsi" w:cstheme="minorBidi"/>
        </w:rPr>
        <w:t xml:space="preserve">ESORT website. Available at: </w:t>
      </w:r>
      <w:r w:rsidRPr="23E33334">
        <w:rPr>
          <w:rFonts w:asciiTheme="minorHAnsi" w:hAnsiTheme="minorHAnsi" w:cstheme="minorBidi"/>
          <w:color w:val="0563C1"/>
          <w:u w:val="single"/>
        </w:rPr>
        <w:t>https://www.lshtm.ac.uk/research/centres-projects-groups/esort#welcome</w:t>
      </w:r>
      <w:r w:rsidR="23E33334" w:rsidRPr="23E33334">
        <w:rPr>
          <w:rFonts w:eastAsia="Calibri"/>
        </w:rPr>
        <w:t xml:space="preserve"> (accessed 20 April 2022)</w:t>
      </w:r>
      <w:r w:rsidRPr="23E33334">
        <w:rPr>
          <w:rFonts w:asciiTheme="minorHAnsi" w:hAnsiTheme="minorHAnsi" w:cstheme="minorBidi"/>
        </w:rPr>
        <w:t xml:space="preserve"> </w:t>
      </w:r>
    </w:p>
    <w:p w14:paraId="678BF169" w14:textId="77777777" w:rsidR="00470AE4" w:rsidRPr="00404610" w:rsidRDefault="00470AE4" w:rsidP="00470AE4">
      <w:pPr>
        <w:spacing w:line="360" w:lineRule="auto"/>
        <w:ind w:left="851" w:hanging="851"/>
        <w:rPr>
          <w:rFonts w:asciiTheme="minorHAnsi" w:hAnsiTheme="minorHAnsi" w:cstheme="minorHAnsi"/>
          <w:lang w:val="it-IT"/>
        </w:rPr>
      </w:pPr>
      <w:r w:rsidRPr="00C52452">
        <w:rPr>
          <w:rFonts w:asciiTheme="minorHAnsi" w:hAnsiTheme="minorHAnsi" w:cstheme="minorHAnsi"/>
        </w:rPr>
        <w:t>31.</w:t>
      </w:r>
      <w:r w:rsidRPr="00C52452">
        <w:rPr>
          <w:rFonts w:asciiTheme="minorHAnsi" w:hAnsiTheme="minorHAnsi" w:cstheme="minorHAnsi"/>
        </w:rPr>
        <w:tab/>
        <w:t xml:space="preserve">Hernan MA, Robins JM. Using Big Data to Emulate a Target Trial When a Randomized Trial Is Not Available. </w:t>
      </w:r>
      <w:r w:rsidRPr="00404610">
        <w:rPr>
          <w:rFonts w:asciiTheme="minorHAnsi" w:hAnsiTheme="minorHAnsi" w:cstheme="minorHAnsi"/>
          <w:i/>
          <w:lang w:val="it-IT"/>
        </w:rPr>
        <w:t>Am J Epidemiol</w:t>
      </w:r>
      <w:r w:rsidRPr="00404610">
        <w:rPr>
          <w:rFonts w:asciiTheme="minorHAnsi" w:hAnsiTheme="minorHAnsi" w:cstheme="minorHAnsi"/>
          <w:lang w:val="it-IT"/>
        </w:rPr>
        <w:t xml:space="preserve"> 2016;183(8):758-64</w:t>
      </w:r>
    </w:p>
    <w:p w14:paraId="7EB92EBE" w14:textId="77777777" w:rsidR="00470AE4" w:rsidRPr="00C52452" w:rsidRDefault="00470AE4" w:rsidP="00470AE4">
      <w:pPr>
        <w:spacing w:line="360" w:lineRule="auto"/>
        <w:ind w:left="851" w:hanging="851"/>
        <w:rPr>
          <w:rFonts w:asciiTheme="minorHAnsi" w:hAnsiTheme="minorHAnsi" w:cstheme="minorHAnsi"/>
        </w:rPr>
      </w:pPr>
      <w:r w:rsidRPr="00404610">
        <w:rPr>
          <w:rFonts w:asciiTheme="minorHAnsi" w:hAnsiTheme="minorHAnsi" w:cstheme="minorHAnsi"/>
          <w:lang w:val="it-IT"/>
        </w:rPr>
        <w:t>32.</w:t>
      </w:r>
      <w:r w:rsidRPr="00404610">
        <w:rPr>
          <w:rFonts w:asciiTheme="minorHAnsi" w:hAnsiTheme="minorHAnsi" w:cstheme="minorHAnsi"/>
          <w:lang w:val="it-IT"/>
        </w:rPr>
        <w:tab/>
        <w:t xml:space="preserve">Garcia-Albeniz X, Hsu J, Hernan MA. </w:t>
      </w:r>
      <w:r w:rsidRPr="00C52452">
        <w:rPr>
          <w:rFonts w:asciiTheme="minorHAnsi" w:hAnsiTheme="minorHAnsi" w:cstheme="minorHAnsi"/>
        </w:rPr>
        <w:t xml:space="preserve">The value of explicitly emulating a target trial when using real world evidence: an application to colorectal cancer screening. </w:t>
      </w:r>
      <w:r w:rsidRPr="00C52452">
        <w:rPr>
          <w:rFonts w:asciiTheme="minorHAnsi" w:hAnsiTheme="minorHAnsi" w:cstheme="minorHAnsi"/>
          <w:i/>
        </w:rPr>
        <w:t>Eur J Epidemiol</w:t>
      </w:r>
      <w:r w:rsidRPr="00C52452">
        <w:rPr>
          <w:rFonts w:asciiTheme="minorHAnsi" w:hAnsiTheme="minorHAnsi" w:cstheme="minorHAnsi"/>
        </w:rPr>
        <w:t xml:space="preserve"> 2017;32(6):495-500</w:t>
      </w:r>
    </w:p>
    <w:p w14:paraId="21433AEB"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33.</w:t>
      </w:r>
      <w:r w:rsidRPr="00C52452">
        <w:rPr>
          <w:rFonts w:asciiTheme="minorHAnsi" w:hAnsiTheme="minorHAnsi" w:cstheme="minorHAnsi"/>
        </w:rPr>
        <w:tab/>
        <w:t xml:space="preserve">Herbert A, Wijlaars L, Zylbersztejn A, Cromwell D, Hardelid P. Data Resource Profile: Hospital Episode Statistics Admitted Patient Care (HES APC). </w:t>
      </w:r>
      <w:r w:rsidRPr="00C52452">
        <w:rPr>
          <w:rFonts w:asciiTheme="minorHAnsi" w:hAnsiTheme="minorHAnsi" w:cstheme="minorHAnsi"/>
          <w:i/>
        </w:rPr>
        <w:t>Int J Epidemiol</w:t>
      </w:r>
      <w:r w:rsidRPr="00C52452">
        <w:rPr>
          <w:rFonts w:asciiTheme="minorHAnsi" w:hAnsiTheme="minorHAnsi" w:cstheme="minorHAnsi"/>
        </w:rPr>
        <w:t xml:space="preserve"> 2017;46(4):1093-i</w:t>
      </w:r>
    </w:p>
    <w:p w14:paraId="2B3801A5"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34.</w:t>
      </w:r>
      <w:r w:rsidRPr="00C52452">
        <w:rPr>
          <w:rFonts w:asciiTheme="minorHAnsi" w:hAnsiTheme="minorHAnsi" w:cstheme="minorHAnsi"/>
        </w:rPr>
        <w:tab/>
        <w:t xml:space="preserve">Armitage JN, van der Meulen JH. Identifying co-morbidity in surgical patients using administrative data with the Royal College of Surgeons Charlson Score. </w:t>
      </w:r>
      <w:r w:rsidRPr="00C52452">
        <w:rPr>
          <w:rFonts w:asciiTheme="minorHAnsi" w:hAnsiTheme="minorHAnsi" w:cstheme="minorHAnsi"/>
          <w:i/>
        </w:rPr>
        <w:t>Br J Surg</w:t>
      </w:r>
      <w:r w:rsidRPr="00C52452">
        <w:rPr>
          <w:rFonts w:asciiTheme="minorHAnsi" w:hAnsiTheme="minorHAnsi" w:cstheme="minorHAnsi"/>
        </w:rPr>
        <w:t xml:space="preserve"> 2010;97(5):772-81</w:t>
      </w:r>
    </w:p>
    <w:p w14:paraId="1EA3DA3B"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35.</w:t>
      </w:r>
      <w:r w:rsidRPr="00C52452">
        <w:rPr>
          <w:rFonts w:asciiTheme="minorHAnsi" w:hAnsiTheme="minorHAnsi" w:cstheme="minorHAnsi"/>
        </w:rPr>
        <w:tab/>
        <w:t xml:space="preserve">Jauhari Y, Gannon MR, Dodwell D, Horgan K, Clements K, Medina J, et al. Construction of the secondary care administrative records frailty (SCARF) index and validation on older women with operable invasive breast cancer in England and Wales: a cohort study. </w:t>
      </w:r>
      <w:r w:rsidRPr="00C52452">
        <w:rPr>
          <w:rFonts w:asciiTheme="minorHAnsi" w:hAnsiTheme="minorHAnsi" w:cstheme="minorHAnsi"/>
          <w:i/>
        </w:rPr>
        <w:t>BMJ Open</w:t>
      </w:r>
      <w:r w:rsidRPr="00C52452">
        <w:rPr>
          <w:rFonts w:asciiTheme="minorHAnsi" w:hAnsiTheme="minorHAnsi" w:cstheme="minorHAnsi"/>
        </w:rPr>
        <w:t xml:space="preserve"> 2020;10(5):e035395</w:t>
      </w:r>
    </w:p>
    <w:p w14:paraId="0EF7C142" w14:textId="446F1FFC" w:rsidR="00470AE4" w:rsidRPr="00C52452" w:rsidRDefault="00470AE4" w:rsidP="00470AE4">
      <w:pPr>
        <w:spacing w:line="360" w:lineRule="auto"/>
        <w:ind w:left="851" w:hanging="851"/>
        <w:rPr>
          <w:rFonts w:asciiTheme="minorHAnsi" w:hAnsiTheme="minorHAnsi" w:cstheme="minorBidi"/>
          <w:highlight w:val="yellow"/>
        </w:rPr>
      </w:pPr>
      <w:r w:rsidRPr="339E1064">
        <w:rPr>
          <w:rFonts w:asciiTheme="minorHAnsi" w:hAnsiTheme="minorHAnsi" w:cstheme="minorBidi"/>
        </w:rPr>
        <w:t>36.</w:t>
      </w:r>
      <w:r>
        <w:tab/>
      </w:r>
      <w:r w:rsidRPr="339E1064">
        <w:rPr>
          <w:rFonts w:asciiTheme="minorHAnsi" w:hAnsiTheme="minorHAnsi" w:cstheme="minorBidi"/>
        </w:rPr>
        <w:t xml:space="preserve">Hutchings A, Moler Zapata S, O’Neill S, Smart N, Cromwell D, Hinchliffe R et al. Variation in rates of emergency surgery amongst emergency admissions to hospital for common acute conditions. </w:t>
      </w:r>
      <w:r w:rsidRPr="339E1064">
        <w:rPr>
          <w:rFonts w:asciiTheme="minorHAnsi" w:hAnsiTheme="minorHAnsi" w:cstheme="minorBidi"/>
          <w:i/>
        </w:rPr>
        <w:t>BJS Open</w:t>
      </w:r>
      <w:r w:rsidRPr="339E1064">
        <w:rPr>
          <w:rFonts w:asciiTheme="minorHAnsi" w:hAnsiTheme="minorHAnsi" w:cstheme="minorBidi"/>
        </w:rPr>
        <w:t xml:space="preserve"> </w:t>
      </w:r>
      <w:r w:rsidR="00B86E8C" w:rsidRPr="2CFB786A">
        <w:rPr>
          <w:rFonts w:asciiTheme="minorHAnsi" w:hAnsiTheme="minorHAnsi" w:cstheme="minorBidi"/>
        </w:rPr>
        <w:t>2021</w:t>
      </w:r>
      <w:r w:rsidR="2CFB786A" w:rsidRPr="2CFB786A">
        <w:rPr>
          <w:rFonts w:asciiTheme="minorHAnsi" w:hAnsiTheme="minorHAnsi" w:cstheme="minorBidi"/>
        </w:rPr>
        <w:t>;</w:t>
      </w:r>
      <w:r w:rsidR="339E1064" w:rsidRPr="339E1064">
        <w:rPr>
          <w:rFonts w:asciiTheme="minorHAnsi" w:hAnsiTheme="minorHAnsi" w:cstheme="minorBidi"/>
        </w:rPr>
        <w:t>5:zrab094</w:t>
      </w:r>
    </w:p>
    <w:p w14:paraId="51BDC0D1"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37.</w:t>
      </w:r>
      <w:r w:rsidRPr="00C52452">
        <w:rPr>
          <w:rFonts w:asciiTheme="minorHAnsi" w:hAnsiTheme="minorHAnsi" w:cstheme="minorHAnsi"/>
        </w:rPr>
        <w:tab/>
        <w:t xml:space="preserve">CholeS Study Group, West Midlands Research Collaborative. Population-based cohort study of variation in the use of emergency cholecystectomy for benign gallbladder diseases. </w:t>
      </w:r>
      <w:r w:rsidRPr="00C52452">
        <w:rPr>
          <w:rFonts w:asciiTheme="minorHAnsi" w:hAnsiTheme="minorHAnsi" w:cstheme="minorHAnsi"/>
          <w:i/>
        </w:rPr>
        <w:t>Br J Surg</w:t>
      </w:r>
      <w:r w:rsidRPr="00C52452">
        <w:rPr>
          <w:rFonts w:asciiTheme="minorHAnsi" w:hAnsiTheme="minorHAnsi" w:cstheme="minorHAnsi"/>
        </w:rPr>
        <w:t xml:space="preserve"> 2016;103(12):1716-26</w:t>
      </w:r>
    </w:p>
    <w:p w14:paraId="779AE278" w14:textId="179C815D"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38.</w:t>
      </w:r>
      <w:r w:rsidRPr="00C52452">
        <w:rPr>
          <w:rFonts w:asciiTheme="minorHAnsi" w:hAnsiTheme="minorHAnsi" w:cstheme="minorHAnsi"/>
        </w:rPr>
        <w:tab/>
        <w:t xml:space="preserve">National Institute for Health and Care Excellence (NICE). </w:t>
      </w:r>
      <w:r w:rsidRPr="00C52452">
        <w:rPr>
          <w:rFonts w:asciiTheme="minorHAnsi" w:hAnsiTheme="minorHAnsi" w:cstheme="minorHAnsi"/>
          <w:i/>
        </w:rPr>
        <w:t>Gallstone Disease: Diagnosis and Management. Clinical Guideline CG188</w:t>
      </w:r>
      <w:r w:rsidRPr="00C52452">
        <w:rPr>
          <w:rFonts w:asciiTheme="minorHAnsi" w:hAnsiTheme="minorHAnsi" w:cstheme="minorHAnsi"/>
        </w:rPr>
        <w:t xml:space="preserve">. National Institute for Health and Care Excellence, London; 2014. </w:t>
      </w:r>
      <w:r w:rsidRPr="00C52452">
        <w:rPr>
          <w:rFonts w:asciiTheme="minorHAnsi" w:hAnsiTheme="minorHAnsi" w:cstheme="minorHAnsi"/>
          <w:color w:val="0563C1" w:themeColor="hyperlink"/>
          <w:u w:val="single"/>
        </w:rPr>
        <w:t>https://www.nice.org.uk/guidance/cg188</w:t>
      </w:r>
      <w:r w:rsidRPr="00C52452">
        <w:rPr>
          <w:rFonts w:asciiTheme="minorHAnsi" w:hAnsiTheme="minorHAnsi" w:cstheme="minorHAnsi"/>
        </w:rPr>
        <w:t xml:space="preserve">  </w:t>
      </w:r>
      <w:bookmarkStart w:id="3" w:name="_Hlk86266838"/>
      <w:r w:rsidRPr="00C52452">
        <w:rPr>
          <w:rFonts w:asciiTheme="minorHAnsi" w:hAnsiTheme="minorHAnsi" w:cstheme="minorHAnsi"/>
        </w:rPr>
        <w:t>[accessed May 6, 2021].</w:t>
      </w:r>
      <w:bookmarkEnd w:id="3"/>
    </w:p>
    <w:p w14:paraId="0BEF1FE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39.</w:t>
      </w:r>
      <w:r w:rsidRPr="00C52452">
        <w:rPr>
          <w:rFonts w:asciiTheme="minorHAnsi" w:hAnsiTheme="minorHAnsi" w:cstheme="minorHAnsi"/>
        </w:rPr>
        <w:tab/>
        <w:t xml:space="preserve">Wu XD, Tian X, Liu MM, Wu L, Zhao S, Zhao L. Meta-analysis comparing early versus delayed laparoscopic cholecystectomy for acute cholecystitis. </w:t>
      </w:r>
      <w:r w:rsidRPr="00C52452">
        <w:rPr>
          <w:rFonts w:asciiTheme="minorHAnsi" w:hAnsiTheme="minorHAnsi" w:cstheme="minorHAnsi"/>
          <w:i/>
        </w:rPr>
        <w:t>Br J Surg</w:t>
      </w:r>
      <w:r w:rsidRPr="00C52452">
        <w:rPr>
          <w:rFonts w:asciiTheme="minorHAnsi" w:hAnsiTheme="minorHAnsi" w:cstheme="minorHAnsi"/>
        </w:rPr>
        <w:t xml:space="preserve"> 2015;102(11):1302-13</w:t>
      </w:r>
    </w:p>
    <w:p w14:paraId="6FA81378"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40.</w:t>
      </w:r>
      <w:r w:rsidRPr="00C52452">
        <w:rPr>
          <w:rFonts w:asciiTheme="minorHAnsi" w:hAnsiTheme="minorHAnsi" w:cstheme="minorHAnsi"/>
        </w:rPr>
        <w:tab/>
        <w:t xml:space="preserve">Bamber JR, Stephens TJ, Cromwell DA, Duncan E, Martin GP, Quiney NF, et al. Effectiveness of a quality improvement collaborative in reducing time to surgery for patients requiring emergency cholecystectomy. </w:t>
      </w:r>
      <w:r w:rsidRPr="00C52452">
        <w:rPr>
          <w:rFonts w:asciiTheme="minorHAnsi" w:hAnsiTheme="minorHAnsi" w:cstheme="minorHAnsi"/>
          <w:i/>
        </w:rPr>
        <w:t>BJS Open</w:t>
      </w:r>
      <w:r w:rsidRPr="00C52452">
        <w:rPr>
          <w:rFonts w:asciiTheme="minorHAnsi" w:hAnsiTheme="minorHAnsi" w:cstheme="minorHAnsi"/>
        </w:rPr>
        <w:t xml:space="preserve"> 2019;3(6):802-11</w:t>
      </w:r>
    </w:p>
    <w:p w14:paraId="1DFFDD0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41.</w:t>
      </w:r>
      <w:r w:rsidRPr="00C52452">
        <w:rPr>
          <w:rFonts w:asciiTheme="minorHAnsi" w:hAnsiTheme="minorHAnsi" w:cstheme="minorHAnsi"/>
        </w:rPr>
        <w:tab/>
        <w:t xml:space="preserve">Peacock O, Bassett MG, Kuryba A, Walker K, Davies E, Anderson I, et al. Thirty-day mortality in patients undergoing laparotomy for small bowel obstruction. </w:t>
      </w:r>
      <w:r w:rsidRPr="00C52452">
        <w:rPr>
          <w:rFonts w:asciiTheme="minorHAnsi" w:hAnsiTheme="minorHAnsi" w:cstheme="minorHAnsi"/>
          <w:i/>
        </w:rPr>
        <w:t>Br J Surg</w:t>
      </w:r>
      <w:r w:rsidRPr="00C52452">
        <w:rPr>
          <w:rFonts w:asciiTheme="minorHAnsi" w:hAnsiTheme="minorHAnsi" w:cstheme="minorHAnsi"/>
        </w:rPr>
        <w:t xml:space="preserve"> 2018;105(8):1006-13</w:t>
      </w:r>
    </w:p>
    <w:p w14:paraId="7BCF27E3" w14:textId="28FB8F4A"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42.</w:t>
      </w:r>
      <w:r w:rsidRPr="00C52452">
        <w:rPr>
          <w:rFonts w:asciiTheme="minorHAnsi" w:hAnsiTheme="minorHAnsi" w:cstheme="minorHAnsi"/>
        </w:rPr>
        <w:tab/>
        <w:t xml:space="preserve">Management of Acutely Symptomatic Hernias (MASH) study protocol. Protocol V2 dated 10.12.19 clean_hernia.pdf. Available from Management of Acutely Symptomatic Hernias (MASH) study </w:t>
      </w:r>
      <w:r w:rsidRPr="00C52452">
        <w:rPr>
          <w:rFonts w:asciiTheme="minorHAnsi" w:hAnsiTheme="minorHAnsi" w:cstheme="minorHAnsi"/>
          <w:color w:val="0563C1" w:themeColor="hyperlink"/>
          <w:u w:val="single"/>
        </w:rPr>
        <w:t>https://www.britishherniasociety.org/management-of-acutely-symptomatic-hernias-mash-study</w:t>
      </w:r>
      <w:r w:rsidRPr="00C52452">
        <w:rPr>
          <w:rFonts w:asciiTheme="minorHAnsi" w:hAnsiTheme="minorHAnsi" w:cstheme="minorHAnsi"/>
        </w:rPr>
        <w:t xml:space="preserve"> </w:t>
      </w:r>
      <w:r w:rsidR="00B86E8C" w:rsidRPr="00C52452">
        <w:rPr>
          <w:rFonts w:asciiTheme="minorHAnsi" w:hAnsiTheme="minorHAnsi" w:cstheme="minorHAnsi"/>
        </w:rPr>
        <w:t>[accessed October 27, 2021].</w:t>
      </w:r>
    </w:p>
    <w:p w14:paraId="553A2134"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43.</w:t>
      </w:r>
      <w:r w:rsidRPr="00C52452">
        <w:rPr>
          <w:rFonts w:asciiTheme="minorHAnsi" w:hAnsiTheme="minorHAnsi" w:cstheme="minorHAnsi"/>
        </w:rPr>
        <w:tab/>
        <w:t xml:space="preserve">Hwang MJ, Bhangu A, Webster CE, Bowley DM, Gannon MX, Karandikar SS. Unintended consequences of policy change to watchful waiting for asymptomatic inguinal hernias. </w:t>
      </w:r>
      <w:r w:rsidRPr="00C52452">
        <w:rPr>
          <w:rFonts w:asciiTheme="minorHAnsi" w:hAnsiTheme="minorHAnsi" w:cstheme="minorHAnsi"/>
          <w:i/>
        </w:rPr>
        <w:t>Ann R Coll Surg Engl</w:t>
      </w:r>
      <w:r w:rsidRPr="00C52452">
        <w:rPr>
          <w:rFonts w:asciiTheme="minorHAnsi" w:hAnsiTheme="minorHAnsi" w:cstheme="minorHAnsi"/>
        </w:rPr>
        <w:t xml:space="preserve"> 2014;96(5):343-7</w:t>
      </w:r>
    </w:p>
    <w:p w14:paraId="3218BDE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44.</w:t>
      </w:r>
      <w:r w:rsidRPr="00C52452">
        <w:rPr>
          <w:rFonts w:asciiTheme="minorHAnsi" w:hAnsiTheme="minorHAnsi" w:cstheme="minorHAnsi"/>
        </w:rPr>
        <w:tab/>
        <w:t xml:space="preserve">Orchard MR, Wright JA, Kelly A, McCabe DJ, Hewes J. The impact of healthcare rationing on elective and emergency hernia repair. </w:t>
      </w:r>
      <w:r w:rsidRPr="00C52452">
        <w:rPr>
          <w:rFonts w:asciiTheme="minorHAnsi" w:hAnsiTheme="minorHAnsi" w:cstheme="minorHAnsi"/>
          <w:i/>
        </w:rPr>
        <w:t>Hernia</w:t>
      </w:r>
      <w:r w:rsidRPr="00C52452">
        <w:rPr>
          <w:rFonts w:asciiTheme="minorHAnsi" w:hAnsiTheme="minorHAnsi" w:cstheme="minorHAnsi"/>
        </w:rPr>
        <w:t xml:space="preserve"> 2016;20(3):405-9</w:t>
      </w:r>
    </w:p>
    <w:p w14:paraId="7A3A23F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45.</w:t>
      </w:r>
      <w:r w:rsidRPr="00C52452">
        <w:rPr>
          <w:rFonts w:asciiTheme="minorHAnsi" w:hAnsiTheme="minorHAnsi" w:cstheme="minorHAnsi"/>
        </w:rPr>
        <w:tab/>
        <w:t xml:space="preserve">Schultz JK, Yaqub S, Wallon C, Blecic L, Forsmo HM, Folkesson J, et al. Laparoscopic Lavage vs Primary Resection for Acute Perforated Diverticulitis: The SCANDIV Randomized Clinical Trial. </w:t>
      </w:r>
      <w:r w:rsidRPr="00C52452">
        <w:rPr>
          <w:rFonts w:asciiTheme="minorHAnsi" w:hAnsiTheme="minorHAnsi" w:cstheme="minorHAnsi"/>
          <w:i/>
        </w:rPr>
        <w:t>JAMA</w:t>
      </w:r>
      <w:r w:rsidRPr="00C52452">
        <w:rPr>
          <w:rFonts w:asciiTheme="minorHAnsi" w:hAnsiTheme="minorHAnsi" w:cstheme="minorHAnsi"/>
        </w:rPr>
        <w:t xml:space="preserve"> 2015;314(13):1364-75</w:t>
      </w:r>
    </w:p>
    <w:p w14:paraId="23831E9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46.</w:t>
      </w:r>
      <w:r w:rsidRPr="00C52452">
        <w:rPr>
          <w:rFonts w:asciiTheme="minorHAnsi" w:hAnsiTheme="minorHAnsi" w:cstheme="minorHAnsi"/>
        </w:rPr>
        <w:tab/>
        <w:t xml:space="preserve">Schultz JK, Wallon C, Blecic L, Forsmo HM, Folkesson J, Buchwald P, et al. One-year results of the SCANDIV randomized clinical trial of laparoscopic lavage versus primary resection for acute perforated diverticulitis. </w:t>
      </w:r>
      <w:r w:rsidRPr="00C52452">
        <w:rPr>
          <w:rFonts w:asciiTheme="minorHAnsi" w:hAnsiTheme="minorHAnsi" w:cstheme="minorHAnsi"/>
          <w:i/>
        </w:rPr>
        <w:t>Br J Surg</w:t>
      </w:r>
      <w:r w:rsidRPr="00C52452">
        <w:rPr>
          <w:rFonts w:asciiTheme="minorHAnsi" w:hAnsiTheme="minorHAnsi" w:cstheme="minorHAnsi"/>
        </w:rPr>
        <w:t xml:space="preserve"> 2017;104(10):1382-92</w:t>
      </w:r>
    </w:p>
    <w:p w14:paraId="78394891"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47.</w:t>
      </w:r>
      <w:r w:rsidRPr="00C52452">
        <w:rPr>
          <w:rFonts w:asciiTheme="minorHAnsi" w:hAnsiTheme="minorHAnsi" w:cstheme="minorHAnsi"/>
        </w:rPr>
        <w:tab/>
        <w:t xml:space="preserve">Paterson HM, Arnott ID, Nicholls RJ, Clark D, Bauer J, Bridger PC, et al. Diverticular disease in Scotland: 2000-2010. </w:t>
      </w:r>
      <w:r w:rsidRPr="00C52452">
        <w:rPr>
          <w:rFonts w:asciiTheme="minorHAnsi" w:hAnsiTheme="minorHAnsi" w:cstheme="minorHAnsi"/>
          <w:i/>
        </w:rPr>
        <w:t>Colorectal Dis</w:t>
      </w:r>
      <w:r w:rsidRPr="00C52452">
        <w:rPr>
          <w:rFonts w:asciiTheme="minorHAnsi" w:hAnsiTheme="minorHAnsi" w:cstheme="minorHAnsi"/>
        </w:rPr>
        <w:t xml:space="preserve"> 2015;17(4):329-34</w:t>
      </w:r>
    </w:p>
    <w:p w14:paraId="48A1C7FB" w14:textId="0E42B88A"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48.</w:t>
      </w:r>
      <w:r w:rsidRPr="00C52452">
        <w:rPr>
          <w:rFonts w:asciiTheme="minorHAnsi" w:hAnsiTheme="minorHAnsi" w:cstheme="minorHAnsi"/>
        </w:rPr>
        <w:tab/>
        <w:t xml:space="preserve">National Institute for Health and Care Excellence (NICE). Diverticular disease: diagnosis and management (NG147). National Institute for Health and Care Excellence, London; 2019. </w:t>
      </w:r>
      <w:r w:rsidRPr="00C52452">
        <w:rPr>
          <w:rFonts w:asciiTheme="minorHAnsi" w:hAnsiTheme="minorHAnsi" w:cstheme="minorHAnsi"/>
          <w:color w:val="0563C1" w:themeColor="hyperlink"/>
          <w:u w:val="single"/>
        </w:rPr>
        <w:t>https://www.nice.org.uk/guidance/ng147</w:t>
      </w:r>
      <w:r w:rsidRPr="00C52452">
        <w:rPr>
          <w:rFonts w:asciiTheme="minorHAnsi" w:hAnsiTheme="minorHAnsi" w:cstheme="minorHAnsi"/>
        </w:rPr>
        <w:t xml:space="preserve">  [accessed May 6, 2021].</w:t>
      </w:r>
    </w:p>
    <w:p w14:paraId="0181B1D8"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49.</w:t>
      </w:r>
      <w:r w:rsidRPr="00C52452">
        <w:rPr>
          <w:rFonts w:asciiTheme="minorHAnsi" w:hAnsiTheme="minorHAnsi" w:cstheme="minorHAnsi"/>
        </w:rPr>
        <w:tab/>
        <w:t xml:space="preserve">Strong SA, Soper NJ. Minimally Invasive Approaches to Rectal Cancer and Diverticulitis: Does Less Mean More? </w:t>
      </w:r>
      <w:r w:rsidRPr="00C52452">
        <w:rPr>
          <w:rFonts w:asciiTheme="minorHAnsi" w:hAnsiTheme="minorHAnsi" w:cstheme="minorHAnsi"/>
          <w:i/>
        </w:rPr>
        <w:t>JAMA</w:t>
      </w:r>
      <w:r w:rsidRPr="00C52452">
        <w:rPr>
          <w:rFonts w:asciiTheme="minorHAnsi" w:hAnsiTheme="minorHAnsi" w:cstheme="minorHAnsi"/>
        </w:rPr>
        <w:t xml:space="preserve"> 2015;314(13):1343-5</w:t>
      </w:r>
    </w:p>
    <w:p w14:paraId="67904DC9"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50.</w:t>
      </w:r>
      <w:r w:rsidRPr="00C52452">
        <w:rPr>
          <w:rFonts w:asciiTheme="minorHAnsi" w:hAnsiTheme="minorHAnsi" w:cstheme="minorHAnsi"/>
        </w:rPr>
        <w:tab/>
        <w:t xml:space="preserve">Jerath A, Austin PC, Wijeysundera DN. Days Alive and Out of Hospital: Validation of a Patient-centered Outcome for Perioperative Medicine. </w:t>
      </w:r>
      <w:r w:rsidRPr="00C52452">
        <w:rPr>
          <w:rFonts w:asciiTheme="minorHAnsi" w:hAnsiTheme="minorHAnsi" w:cstheme="minorHAnsi"/>
          <w:i/>
        </w:rPr>
        <w:t>Anesthesiology</w:t>
      </w:r>
      <w:r w:rsidRPr="00C52452">
        <w:rPr>
          <w:rFonts w:asciiTheme="minorHAnsi" w:hAnsiTheme="minorHAnsi" w:cstheme="minorHAnsi"/>
        </w:rPr>
        <w:t xml:space="preserve"> 2019;131(1):84-93</w:t>
      </w:r>
    </w:p>
    <w:p w14:paraId="2604F934" w14:textId="762ADD63" w:rsidR="00470AE4" w:rsidRPr="00C52452" w:rsidRDefault="00470AE4" w:rsidP="00470AE4">
      <w:pPr>
        <w:spacing w:line="360" w:lineRule="auto"/>
        <w:ind w:left="851" w:hanging="851"/>
        <w:rPr>
          <w:rFonts w:asciiTheme="minorHAnsi" w:hAnsiTheme="minorHAnsi" w:cstheme="minorHAnsi"/>
          <w:highlight w:val="yellow"/>
        </w:rPr>
      </w:pPr>
      <w:r w:rsidRPr="00C52452">
        <w:rPr>
          <w:rFonts w:asciiTheme="minorHAnsi" w:hAnsiTheme="minorHAnsi" w:cstheme="minorHAnsi"/>
        </w:rPr>
        <w:t>51.</w:t>
      </w:r>
      <w:r>
        <w:tab/>
      </w:r>
      <w:r w:rsidRPr="00C52452">
        <w:rPr>
          <w:rFonts w:asciiTheme="minorHAnsi" w:hAnsiTheme="minorHAnsi" w:cstheme="minorHAnsi"/>
        </w:rPr>
        <w:t xml:space="preserve">Boney O, Moonesinghe SR, Myles PS, Grocott MPW and the StEP-COMPAC group. Core Outcome Measures for Perioperative and Anaesthetic Care (COMPAC): A modified Delphi process to develop a Core Outcome Set for trials in Perioperative Care and Anaesthesia. </w:t>
      </w:r>
      <w:r w:rsidRPr="00C52452">
        <w:rPr>
          <w:rFonts w:asciiTheme="minorHAnsi" w:hAnsiTheme="minorHAnsi" w:cstheme="minorHAnsi"/>
          <w:i/>
        </w:rPr>
        <w:t>Br J Anaesth</w:t>
      </w:r>
      <w:r w:rsidRPr="00C52452">
        <w:rPr>
          <w:rFonts w:asciiTheme="minorHAnsi" w:hAnsiTheme="minorHAnsi" w:cstheme="minorHAnsi"/>
        </w:rPr>
        <w:t xml:space="preserve"> </w:t>
      </w:r>
      <w:r w:rsidR="00B86E8C" w:rsidRPr="10EBE86F">
        <w:rPr>
          <w:rFonts w:asciiTheme="minorHAnsi" w:hAnsiTheme="minorHAnsi" w:cstheme="minorBidi"/>
        </w:rPr>
        <w:t>202</w:t>
      </w:r>
      <w:r w:rsidR="10EBE86F" w:rsidRPr="10EBE86F">
        <w:rPr>
          <w:rFonts w:asciiTheme="minorHAnsi" w:hAnsiTheme="minorHAnsi" w:cstheme="minorBidi"/>
        </w:rPr>
        <w:t>2;128</w:t>
      </w:r>
      <w:r w:rsidR="57627F83" w:rsidRPr="57627F83">
        <w:rPr>
          <w:rFonts w:asciiTheme="minorHAnsi" w:hAnsiTheme="minorHAnsi" w:cstheme="minorBidi"/>
        </w:rPr>
        <w:t>(1)</w:t>
      </w:r>
      <w:r w:rsidR="10EBE86F" w:rsidRPr="57627F83">
        <w:rPr>
          <w:rFonts w:asciiTheme="minorHAnsi" w:hAnsiTheme="minorHAnsi" w:cstheme="minorBidi"/>
        </w:rPr>
        <w:t>:</w:t>
      </w:r>
      <w:r w:rsidR="10EBE86F" w:rsidRPr="10EBE86F">
        <w:rPr>
          <w:rFonts w:asciiTheme="minorHAnsi" w:hAnsiTheme="minorHAnsi" w:cstheme="minorBidi"/>
        </w:rPr>
        <w:t>174-85</w:t>
      </w:r>
      <w:r w:rsidR="00B86E8C" w:rsidRPr="00C52452">
        <w:rPr>
          <w:rFonts w:asciiTheme="minorHAnsi" w:hAnsiTheme="minorHAnsi" w:cstheme="minorHAnsi"/>
        </w:rPr>
        <w:t xml:space="preserve">1 </w:t>
      </w:r>
      <w:r w:rsidRPr="00C52452">
        <w:rPr>
          <w:rFonts w:asciiTheme="minorHAnsi" w:hAnsiTheme="minorHAnsi" w:cstheme="minorHAnsi"/>
        </w:rPr>
        <w:t>(in press)</w:t>
      </w:r>
    </w:p>
    <w:p w14:paraId="27D91563" w14:textId="36032D2A" w:rsidR="00470AE4" w:rsidRPr="00C52452" w:rsidRDefault="00470AE4" w:rsidP="00470AE4">
      <w:pPr>
        <w:spacing w:line="360" w:lineRule="auto"/>
        <w:ind w:left="851" w:hanging="851"/>
        <w:rPr>
          <w:rFonts w:asciiTheme="minorHAnsi" w:hAnsiTheme="minorHAnsi" w:cstheme="minorBidi"/>
        </w:rPr>
      </w:pPr>
      <w:r w:rsidRPr="24E18893">
        <w:rPr>
          <w:rFonts w:asciiTheme="minorHAnsi" w:hAnsiTheme="minorHAnsi" w:cstheme="minorBidi"/>
        </w:rPr>
        <w:t>52.</w:t>
      </w:r>
      <w:r>
        <w:tab/>
      </w:r>
      <w:r w:rsidRPr="24E18893">
        <w:rPr>
          <w:rFonts w:asciiTheme="minorHAnsi" w:hAnsiTheme="minorHAnsi" w:cstheme="minorBidi"/>
        </w:rPr>
        <w:t xml:space="preserve">Spurling LJ, Moonesinghe SR, Oliver CM. Validation of the days alive and out of hospital (DAOH) outcome measure in a retrospective cohort of patients having emergency laparotomy. </w:t>
      </w:r>
      <w:r w:rsidRPr="24E18893">
        <w:rPr>
          <w:rFonts w:asciiTheme="minorHAnsi" w:hAnsiTheme="minorHAnsi" w:cstheme="minorBidi"/>
          <w:i/>
        </w:rPr>
        <w:t>Br J Anaesth</w:t>
      </w:r>
      <w:r w:rsidRPr="24E18893">
        <w:rPr>
          <w:rFonts w:asciiTheme="minorHAnsi" w:hAnsiTheme="minorHAnsi" w:cstheme="minorBidi"/>
        </w:rPr>
        <w:t xml:space="preserve"> </w:t>
      </w:r>
      <w:r w:rsidR="00B86E8C" w:rsidRPr="24E18893">
        <w:rPr>
          <w:rFonts w:asciiTheme="minorHAnsi" w:hAnsiTheme="minorHAnsi" w:cstheme="minorBidi"/>
        </w:rPr>
        <w:t>2022;128(3):449-56</w:t>
      </w:r>
    </w:p>
    <w:p w14:paraId="4E16341B"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53.</w:t>
      </w:r>
      <w:r w:rsidRPr="00C52452">
        <w:rPr>
          <w:rFonts w:asciiTheme="minorHAnsi" w:hAnsiTheme="minorHAnsi" w:cstheme="minorHAnsi"/>
        </w:rPr>
        <w:tab/>
        <w:t xml:space="preserve">Staiger D, Stock JH. Instrumental variables regression with weak instruments. </w:t>
      </w:r>
      <w:r w:rsidRPr="00C52452">
        <w:rPr>
          <w:rFonts w:asciiTheme="minorHAnsi" w:hAnsiTheme="minorHAnsi" w:cstheme="minorHAnsi"/>
          <w:i/>
        </w:rPr>
        <w:t>Econometrica</w:t>
      </w:r>
      <w:r w:rsidRPr="00C52452">
        <w:rPr>
          <w:rFonts w:asciiTheme="minorHAnsi" w:hAnsiTheme="minorHAnsi" w:cstheme="minorHAnsi"/>
        </w:rPr>
        <w:t xml:space="preserve"> 1997;65(3):557-86</w:t>
      </w:r>
    </w:p>
    <w:p w14:paraId="44D9D20A"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54.</w:t>
      </w:r>
      <w:r w:rsidRPr="00C52452">
        <w:rPr>
          <w:rFonts w:asciiTheme="minorHAnsi" w:hAnsiTheme="minorHAnsi" w:cstheme="minorHAnsi"/>
        </w:rPr>
        <w:tab/>
        <w:t xml:space="preserve">Branson Z, Keele L. Evaluating a Key Instrumental Variable Assumption Using Randomization Tests. </w:t>
      </w:r>
      <w:r w:rsidRPr="00C52452">
        <w:rPr>
          <w:rFonts w:asciiTheme="minorHAnsi" w:hAnsiTheme="minorHAnsi" w:cstheme="minorHAnsi"/>
          <w:i/>
        </w:rPr>
        <w:t>Am J Epidemiol</w:t>
      </w:r>
      <w:r w:rsidRPr="00C52452">
        <w:rPr>
          <w:rFonts w:asciiTheme="minorHAnsi" w:hAnsiTheme="minorHAnsi" w:cstheme="minorHAnsi"/>
        </w:rPr>
        <w:t xml:space="preserve"> 2020;189(11):1412-20</w:t>
      </w:r>
    </w:p>
    <w:p w14:paraId="735BA87D"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55.</w:t>
      </w:r>
      <w:r w:rsidRPr="00C52452">
        <w:rPr>
          <w:rFonts w:asciiTheme="minorHAnsi" w:hAnsiTheme="minorHAnsi" w:cstheme="minorHAnsi"/>
        </w:rPr>
        <w:tab/>
        <w:t xml:space="preserve">Basu A. Estimating Person‐Centered Treatment (Pet) Effects Using Instrumental Variables: An Application to Evaluating Prostate Cancer Treatments. </w:t>
      </w:r>
      <w:r w:rsidRPr="00C52452">
        <w:rPr>
          <w:rFonts w:asciiTheme="minorHAnsi" w:hAnsiTheme="minorHAnsi" w:cstheme="minorHAnsi"/>
          <w:i/>
        </w:rPr>
        <w:t>J Appl Econ (Chichester Engl)</w:t>
      </w:r>
      <w:r w:rsidRPr="00C52452">
        <w:rPr>
          <w:rFonts w:asciiTheme="minorHAnsi" w:hAnsiTheme="minorHAnsi" w:cstheme="minorHAnsi"/>
        </w:rPr>
        <w:t xml:space="preserve"> 2014;29(4):671-91</w:t>
      </w:r>
    </w:p>
    <w:p w14:paraId="1E5BC1F7"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56.</w:t>
      </w:r>
      <w:r w:rsidRPr="00C52452">
        <w:rPr>
          <w:rFonts w:asciiTheme="minorHAnsi" w:hAnsiTheme="minorHAnsi" w:cstheme="minorHAnsi"/>
        </w:rPr>
        <w:tab/>
        <w:t xml:space="preserve">Basu A. Person-centered treatment (PeT) effects: Individualized treatment effects using instrumental variables. </w:t>
      </w:r>
      <w:r w:rsidRPr="00C52452">
        <w:rPr>
          <w:rFonts w:asciiTheme="minorHAnsi" w:hAnsiTheme="minorHAnsi" w:cstheme="minorHAnsi"/>
          <w:i/>
        </w:rPr>
        <w:t>The Stata Journal</w:t>
      </w:r>
      <w:r w:rsidRPr="00C52452">
        <w:rPr>
          <w:rFonts w:asciiTheme="minorHAnsi" w:hAnsiTheme="minorHAnsi" w:cstheme="minorHAnsi"/>
        </w:rPr>
        <w:t xml:space="preserve"> 2015;15:397-410</w:t>
      </w:r>
    </w:p>
    <w:p w14:paraId="412CF2A1"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57.</w:t>
      </w:r>
      <w:r w:rsidRPr="00C52452">
        <w:rPr>
          <w:rFonts w:asciiTheme="minorHAnsi" w:hAnsiTheme="minorHAnsi" w:cstheme="minorHAnsi"/>
        </w:rPr>
        <w:tab/>
        <w:t xml:space="preserve">Basu A, Gore JL. Are Elderly Patients With Clinically Localized Prostate Cancer Overtreated? Exploring Heterogeneity in Survival Effects. </w:t>
      </w:r>
      <w:r w:rsidRPr="00C52452">
        <w:rPr>
          <w:rFonts w:asciiTheme="minorHAnsi" w:hAnsiTheme="minorHAnsi" w:cstheme="minorHAnsi"/>
          <w:i/>
        </w:rPr>
        <w:t>Med Care</w:t>
      </w:r>
      <w:r w:rsidRPr="00C52452">
        <w:rPr>
          <w:rFonts w:asciiTheme="minorHAnsi" w:hAnsiTheme="minorHAnsi" w:cstheme="minorHAnsi"/>
        </w:rPr>
        <w:t xml:space="preserve"> 2015;53(1):79-86</w:t>
      </w:r>
    </w:p>
    <w:p w14:paraId="7464D26B" w14:textId="77777777"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58.</w:t>
      </w:r>
      <w:r w:rsidRPr="00C52452">
        <w:rPr>
          <w:rFonts w:asciiTheme="minorHAnsi" w:hAnsiTheme="minorHAnsi" w:cstheme="minorHAnsi"/>
        </w:rPr>
        <w:tab/>
        <w:t xml:space="preserve">Grieve R, O'Neill S, Basu A, Keele L, Rowan KM, Harris S. Analysis of Benefit of Intensive Care Unit Transfer for Deteriorating Ward Patients: A Patient-Centered Approach to Clinical Evaluation. </w:t>
      </w:r>
      <w:r w:rsidRPr="00C52452">
        <w:rPr>
          <w:rFonts w:asciiTheme="minorHAnsi" w:hAnsiTheme="minorHAnsi" w:cstheme="minorHAnsi"/>
          <w:i/>
        </w:rPr>
        <w:t>JAMA Netw Open</w:t>
      </w:r>
      <w:r w:rsidRPr="00C52452">
        <w:rPr>
          <w:rFonts w:asciiTheme="minorHAnsi" w:hAnsiTheme="minorHAnsi" w:cstheme="minorHAnsi"/>
        </w:rPr>
        <w:t xml:space="preserve"> 2019;2(2):e187704</w:t>
      </w:r>
    </w:p>
    <w:p w14:paraId="5AE93B18" w14:textId="0717DD60" w:rsidR="00470AE4" w:rsidRPr="00C52452" w:rsidRDefault="00470AE4" w:rsidP="00470AE4">
      <w:pPr>
        <w:spacing w:line="360" w:lineRule="auto"/>
        <w:ind w:left="851" w:hanging="851"/>
        <w:rPr>
          <w:rFonts w:eastAsia="Calibri"/>
        </w:rPr>
      </w:pPr>
      <w:r w:rsidRPr="4DCBC6C5">
        <w:rPr>
          <w:rFonts w:asciiTheme="minorHAnsi" w:hAnsiTheme="minorHAnsi" w:cstheme="minorBidi"/>
        </w:rPr>
        <w:t>59.</w:t>
      </w:r>
      <w:r>
        <w:tab/>
      </w:r>
      <w:r w:rsidRPr="4DCBC6C5">
        <w:rPr>
          <w:rFonts w:asciiTheme="minorHAnsi" w:hAnsiTheme="minorHAnsi" w:cstheme="minorBidi"/>
        </w:rPr>
        <w:t xml:space="preserve">National Emergency Laparotomy Audit (NELA) Project Team. </w:t>
      </w:r>
      <w:r w:rsidRPr="4DCBC6C5">
        <w:rPr>
          <w:rFonts w:asciiTheme="minorHAnsi" w:hAnsiTheme="minorHAnsi" w:cstheme="minorBidi"/>
          <w:i/>
        </w:rPr>
        <w:t>Second patient report of the National emergency laparotomy audit</w:t>
      </w:r>
      <w:r w:rsidRPr="4DCBC6C5">
        <w:rPr>
          <w:rFonts w:asciiTheme="minorHAnsi" w:hAnsiTheme="minorHAnsi" w:cstheme="minorBidi"/>
        </w:rPr>
        <w:t xml:space="preserve">. London, 2016. Available: </w:t>
      </w:r>
      <w:r w:rsidRPr="4DCBC6C5">
        <w:rPr>
          <w:rFonts w:asciiTheme="minorHAnsi" w:hAnsiTheme="minorHAnsi" w:cstheme="minorBidi"/>
          <w:color w:val="0563C1"/>
          <w:u w:val="single"/>
        </w:rPr>
        <w:t>www.nela.org.uk/reports</w:t>
      </w:r>
      <w:r w:rsidR="4DCBC6C5" w:rsidRPr="4DCBC6C5">
        <w:rPr>
          <w:rFonts w:eastAsia="Calibri"/>
        </w:rPr>
        <w:t xml:space="preserve"> (accessed 20 April 2022)</w:t>
      </w:r>
    </w:p>
    <w:p w14:paraId="408CFB09" w14:textId="4BDCDF4B" w:rsidR="00470AE4" w:rsidRPr="00C52452" w:rsidRDefault="00470AE4" w:rsidP="00470AE4">
      <w:pPr>
        <w:spacing w:line="360" w:lineRule="auto"/>
        <w:ind w:left="851" w:hanging="851"/>
        <w:rPr>
          <w:rFonts w:eastAsia="Calibri"/>
        </w:rPr>
      </w:pPr>
      <w:r w:rsidRPr="4DCBC6C5">
        <w:rPr>
          <w:rFonts w:asciiTheme="minorHAnsi" w:hAnsiTheme="minorHAnsi" w:cstheme="minorBidi"/>
        </w:rPr>
        <w:t>60.</w:t>
      </w:r>
      <w:r>
        <w:tab/>
      </w:r>
      <w:r w:rsidRPr="4DCBC6C5">
        <w:rPr>
          <w:rFonts w:asciiTheme="minorHAnsi" w:hAnsiTheme="minorHAnsi" w:cstheme="minorBidi"/>
        </w:rPr>
        <w:t xml:space="preserve">National Emergency Laparotomy Audit (NELA) Project Team. </w:t>
      </w:r>
      <w:r w:rsidRPr="4DCBC6C5">
        <w:rPr>
          <w:rFonts w:asciiTheme="minorHAnsi" w:hAnsiTheme="minorHAnsi" w:cstheme="minorBidi"/>
          <w:i/>
        </w:rPr>
        <w:t>Third patient report of the National emergency laparotomy audit</w:t>
      </w:r>
      <w:r w:rsidRPr="4DCBC6C5">
        <w:rPr>
          <w:rFonts w:asciiTheme="minorHAnsi" w:hAnsiTheme="minorHAnsi" w:cstheme="minorBidi"/>
        </w:rPr>
        <w:t xml:space="preserve">. London, 2017. Available: </w:t>
      </w:r>
      <w:r w:rsidRPr="4DCBC6C5">
        <w:rPr>
          <w:rFonts w:asciiTheme="minorHAnsi" w:hAnsiTheme="minorHAnsi" w:cstheme="minorBidi"/>
          <w:color w:val="0563C1"/>
          <w:u w:val="single"/>
        </w:rPr>
        <w:t>www.nela.org.uk/reports</w:t>
      </w:r>
      <w:r w:rsidR="4DCBC6C5" w:rsidRPr="4DCBC6C5">
        <w:rPr>
          <w:rFonts w:eastAsia="Calibri"/>
        </w:rPr>
        <w:t xml:space="preserve"> (accessed 20 April 2022)</w:t>
      </w:r>
    </w:p>
    <w:p w14:paraId="7B8750A6" w14:textId="2CD5AC35" w:rsidR="00470AE4" w:rsidRPr="00C52452" w:rsidRDefault="00470AE4" w:rsidP="00470AE4">
      <w:pPr>
        <w:spacing w:line="360" w:lineRule="auto"/>
        <w:ind w:left="851" w:hanging="851"/>
        <w:rPr>
          <w:rFonts w:eastAsia="Calibri"/>
        </w:rPr>
      </w:pPr>
      <w:r w:rsidRPr="690A78BA">
        <w:rPr>
          <w:rFonts w:asciiTheme="minorHAnsi" w:hAnsiTheme="minorHAnsi" w:cstheme="minorBidi"/>
        </w:rPr>
        <w:t>61.</w:t>
      </w:r>
      <w:r>
        <w:tab/>
      </w:r>
      <w:r w:rsidRPr="690A78BA">
        <w:rPr>
          <w:rFonts w:asciiTheme="minorHAnsi" w:hAnsiTheme="minorHAnsi" w:cstheme="minorBidi"/>
        </w:rPr>
        <w:t xml:space="preserve">National Emergency Laparotomy Audit (NELA) Project Team. </w:t>
      </w:r>
      <w:r w:rsidRPr="690A78BA">
        <w:rPr>
          <w:rFonts w:asciiTheme="minorHAnsi" w:hAnsiTheme="minorHAnsi" w:cstheme="minorBidi"/>
          <w:i/>
        </w:rPr>
        <w:t>Fourth patient report of the National emergency laparotomy audit</w:t>
      </w:r>
      <w:r w:rsidRPr="690A78BA">
        <w:rPr>
          <w:rFonts w:asciiTheme="minorHAnsi" w:hAnsiTheme="minorHAnsi" w:cstheme="minorBidi"/>
        </w:rPr>
        <w:t xml:space="preserve">. London, 2018. </w:t>
      </w:r>
      <w:r w:rsidRPr="4DCBC6C5">
        <w:rPr>
          <w:rFonts w:asciiTheme="minorHAnsi" w:hAnsiTheme="minorHAnsi" w:cstheme="minorBidi"/>
        </w:rPr>
        <w:t xml:space="preserve">Available: </w:t>
      </w:r>
      <w:r w:rsidRPr="4DCBC6C5">
        <w:rPr>
          <w:rFonts w:asciiTheme="minorHAnsi" w:hAnsiTheme="minorHAnsi" w:cstheme="minorBidi"/>
          <w:color w:val="0563C1"/>
          <w:u w:val="single"/>
        </w:rPr>
        <w:t>www.nela.org.uk/reports</w:t>
      </w:r>
      <w:r w:rsidR="4DCBC6C5" w:rsidRPr="4DCBC6C5">
        <w:rPr>
          <w:rFonts w:eastAsia="Calibri"/>
        </w:rPr>
        <w:t xml:space="preserve"> (accessed 20 April 2022)</w:t>
      </w:r>
    </w:p>
    <w:p w14:paraId="112DDBFB" w14:textId="39A72D59" w:rsidR="00470AE4" w:rsidRPr="00C52452" w:rsidRDefault="00470AE4" w:rsidP="00470AE4">
      <w:pPr>
        <w:spacing w:line="360" w:lineRule="auto"/>
        <w:ind w:left="851" w:hanging="851"/>
        <w:rPr>
          <w:rFonts w:asciiTheme="minorHAnsi" w:hAnsiTheme="minorHAnsi" w:cstheme="minorHAnsi"/>
        </w:rPr>
      </w:pPr>
      <w:r w:rsidRPr="00C52452">
        <w:rPr>
          <w:rFonts w:asciiTheme="minorHAnsi" w:hAnsiTheme="minorHAnsi" w:cstheme="minorHAnsi"/>
        </w:rPr>
        <w:t>62.</w:t>
      </w:r>
      <w:r w:rsidRPr="00C52452">
        <w:rPr>
          <w:rFonts w:asciiTheme="minorHAnsi" w:hAnsiTheme="minorHAnsi" w:cstheme="minorHAnsi"/>
        </w:rPr>
        <w:tab/>
        <w:t xml:space="preserve">Ariti CA, Cleland JG, Pocock SJ, Pfeffer MA, Swedberg K, Granger CB, et al. Days alive and out of hospital and the patient journey in patients with heart failure: Insights from the candesartan in heart failure: assessment of reduction in mortality and morbidity (CHARM) program. </w:t>
      </w:r>
      <w:r w:rsidRPr="00C52452">
        <w:rPr>
          <w:rFonts w:asciiTheme="minorHAnsi" w:hAnsiTheme="minorHAnsi" w:cstheme="minorHAnsi"/>
          <w:i/>
        </w:rPr>
        <w:t>Am Heart J</w:t>
      </w:r>
      <w:r w:rsidRPr="00C52452">
        <w:rPr>
          <w:rFonts w:asciiTheme="minorHAnsi" w:hAnsiTheme="minorHAnsi" w:cstheme="minorHAnsi"/>
        </w:rPr>
        <w:t xml:space="preserve"> 2011;162(5):900-6</w:t>
      </w:r>
    </w:p>
    <w:p w14:paraId="11D347BD" w14:textId="1F8CAD33" w:rsidR="00D46A68" w:rsidRPr="00C52452" w:rsidRDefault="00B86E8C" w:rsidP="00B86E8C">
      <w:pPr>
        <w:spacing w:line="360" w:lineRule="auto"/>
        <w:ind w:left="851" w:hanging="851"/>
        <w:rPr>
          <w:rFonts w:asciiTheme="minorHAnsi" w:hAnsiTheme="minorHAnsi" w:cstheme="minorBidi"/>
        </w:rPr>
      </w:pPr>
      <w:r w:rsidRPr="2124E72D">
        <w:rPr>
          <w:rFonts w:asciiTheme="minorHAnsi" w:hAnsiTheme="minorHAnsi" w:cstheme="minorBidi"/>
        </w:rPr>
        <w:t>63.</w:t>
      </w:r>
      <w:r>
        <w:tab/>
      </w:r>
      <w:r w:rsidR="00D46A68" w:rsidRPr="2124E72D">
        <w:rPr>
          <w:rFonts w:asciiTheme="minorHAnsi" w:hAnsiTheme="minorHAnsi" w:cstheme="minorBidi"/>
        </w:rPr>
        <w:t xml:space="preserve">National Institute for Health and Care Excellence. </w:t>
      </w:r>
      <w:r w:rsidR="00D46A68" w:rsidRPr="2124E72D">
        <w:rPr>
          <w:rFonts w:asciiTheme="minorHAnsi" w:hAnsiTheme="minorHAnsi" w:cstheme="minorBidi"/>
          <w:i/>
        </w:rPr>
        <w:t>Guide to the methods of technology appraisal 2013</w:t>
      </w:r>
      <w:r w:rsidR="00D46A68" w:rsidRPr="2124E72D">
        <w:rPr>
          <w:rFonts w:asciiTheme="minorHAnsi" w:hAnsiTheme="minorHAnsi" w:cstheme="minorBidi"/>
        </w:rPr>
        <w:t xml:space="preserve">. Available from: </w:t>
      </w:r>
      <w:r w:rsidR="2CDDB67F" w:rsidRPr="008171D0">
        <w:rPr>
          <w:rFonts w:asciiTheme="minorHAnsi" w:hAnsiTheme="minorHAnsi" w:cstheme="minorBidi"/>
        </w:rPr>
        <w:t>https://www.nice.org.uk/process/pmg9/chapter/foreword</w:t>
      </w:r>
    </w:p>
    <w:p w14:paraId="3AEEDA4B" w14:textId="4BBBB4FC"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lang w:val="de-DE"/>
        </w:rPr>
        <w:t>64.</w:t>
      </w:r>
      <w:r w:rsidRPr="00404610">
        <w:rPr>
          <w:rFonts w:asciiTheme="minorHAnsi" w:hAnsiTheme="minorHAnsi" w:cstheme="minorHAnsi"/>
          <w:lang w:val="de-DE"/>
        </w:rPr>
        <w:tab/>
        <w:t>Neumann PJ, Ganiats TG, Russell LB, Sanders GD, Siegel JE</w:t>
      </w:r>
      <w:r w:rsidR="00D46A68" w:rsidRPr="00404610">
        <w:rPr>
          <w:rFonts w:asciiTheme="minorHAnsi" w:hAnsiTheme="minorHAnsi" w:cstheme="minorHAnsi"/>
          <w:lang w:val="de-DE"/>
        </w:rPr>
        <w:t xml:space="preserve"> (</w:t>
      </w:r>
      <w:r w:rsidRPr="00404610">
        <w:rPr>
          <w:rFonts w:asciiTheme="minorHAnsi" w:hAnsiTheme="minorHAnsi" w:cstheme="minorHAnsi"/>
          <w:lang w:val="de-DE"/>
        </w:rPr>
        <w:t>ed</w:t>
      </w:r>
      <w:r w:rsidR="00D46A68" w:rsidRPr="00404610">
        <w:rPr>
          <w:rFonts w:asciiTheme="minorHAnsi" w:hAnsiTheme="minorHAnsi" w:cstheme="minorHAnsi"/>
          <w:lang w:val="de-DE"/>
        </w:rPr>
        <w:t>s)</w:t>
      </w:r>
      <w:r w:rsidRPr="00404610">
        <w:rPr>
          <w:rFonts w:asciiTheme="minorHAnsi" w:hAnsiTheme="minorHAnsi" w:cstheme="minorHAnsi"/>
          <w:lang w:val="de-DE"/>
        </w:rPr>
        <w:t xml:space="preserve">. </w:t>
      </w:r>
      <w:r w:rsidRPr="00C52452">
        <w:rPr>
          <w:rFonts w:asciiTheme="minorHAnsi" w:hAnsiTheme="minorHAnsi" w:cstheme="minorHAnsi"/>
          <w:i/>
        </w:rPr>
        <w:t>Cost-Effectiveness in Health and Medicine</w:t>
      </w:r>
      <w:r w:rsidR="00D46A68" w:rsidRPr="00C52452">
        <w:rPr>
          <w:rFonts w:asciiTheme="minorHAnsi" w:hAnsiTheme="minorHAnsi" w:cstheme="minorHAnsi"/>
          <w:i/>
        </w:rPr>
        <w:t>,</w:t>
      </w:r>
      <w:r w:rsidRPr="00C52452">
        <w:rPr>
          <w:rFonts w:asciiTheme="minorHAnsi" w:hAnsiTheme="minorHAnsi" w:cstheme="minorHAnsi"/>
          <w:i/>
        </w:rPr>
        <w:t xml:space="preserve"> 2nd ed.</w:t>
      </w:r>
      <w:r w:rsidRPr="00C52452">
        <w:rPr>
          <w:rFonts w:asciiTheme="minorHAnsi" w:hAnsiTheme="minorHAnsi" w:cstheme="minorHAnsi"/>
        </w:rPr>
        <w:t xml:space="preserve"> New York: Oxford University Press; 2016.</w:t>
      </w:r>
    </w:p>
    <w:p w14:paraId="7839366D" w14:textId="39DA5C76" w:rsidR="00B86E8C" w:rsidRPr="00404610" w:rsidRDefault="00B86E8C" w:rsidP="00B86E8C">
      <w:pPr>
        <w:spacing w:line="360" w:lineRule="auto"/>
        <w:ind w:left="851" w:hanging="851"/>
        <w:rPr>
          <w:rFonts w:asciiTheme="minorHAnsi" w:hAnsiTheme="minorHAnsi" w:cstheme="minorHAnsi"/>
          <w:lang w:val="es-ES"/>
        </w:rPr>
      </w:pPr>
      <w:r w:rsidRPr="00404610">
        <w:rPr>
          <w:rFonts w:asciiTheme="minorHAnsi" w:hAnsiTheme="minorHAnsi" w:cstheme="minorHAnsi"/>
          <w:lang w:val="de-DE"/>
        </w:rPr>
        <w:t>65.</w:t>
      </w:r>
      <w:r w:rsidRPr="00404610">
        <w:rPr>
          <w:rFonts w:asciiTheme="minorHAnsi" w:hAnsiTheme="minorHAnsi" w:cstheme="minorHAnsi"/>
          <w:lang w:val="de-DE"/>
        </w:rPr>
        <w:tab/>
        <w:t xml:space="preserve">Salminen P, Paajanen H, Rautio T, Nordstrom P, Aarnio M, Rantanen T, et al. </w:t>
      </w:r>
      <w:r w:rsidRPr="00C52452">
        <w:rPr>
          <w:rFonts w:asciiTheme="minorHAnsi" w:hAnsiTheme="minorHAnsi" w:cstheme="minorHAnsi"/>
        </w:rPr>
        <w:t xml:space="preserve">Antibiotic Therapy vs </w:t>
      </w:r>
      <w:r w:rsidR="00554E7D" w:rsidRPr="00C52452">
        <w:rPr>
          <w:rFonts w:asciiTheme="minorHAnsi" w:hAnsiTheme="minorHAnsi" w:cstheme="minorHAnsi"/>
        </w:rPr>
        <w:t>Appendicectomy</w:t>
      </w:r>
      <w:r w:rsidRPr="00C52452">
        <w:rPr>
          <w:rFonts w:asciiTheme="minorHAnsi" w:hAnsiTheme="minorHAnsi" w:cstheme="minorHAnsi"/>
        </w:rPr>
        <w:t xml:space="preserve"> for Treatment of Uncomplicated Acute Appendicitis: The APPAC Randomized Clinical Trial. </w:t>
      </w:r>
      <w:r w:rsidRPr="00404610">
        <w:rPr>
          <w:rFonts w:asciiTheme="minorHAnsi" w:hAnsiTheme="minorHAnsi" w:cstheme="minorHAnsi"/>
          <w:i/>
          <w:lang w:val="es-ES"/>
        </w:rPr>
        <w:t>JAMA</w:t>
      </w:r>
      <w:r w:rsidRPr="00404610">
        <w:rPr>
          <w:rFonts w:asciiTheme="minorHAnsi" w:hAnsiTheme="minorHAnsi" w:cstheme="minorHAnsi"/>
          <w:lang w:val="es-ES"/>
        </w:rPr>
        <w:t xml:space="preserve"> 2015;313(23):2340-8</w:t>
      </w:r>
    </w:p>
    <w:p w14:paraId="45E9E2DE" w14:textId="70DF2344" w:rsidR="00B86E8C" w:rsidRPr="00404610" w:rsidRDefault="00B86E8C" w:rsidP="00B86E8C">
      <w:pPr>
        <w:spacing w:line="360" w:lineRule="auto"/>
        <w:ind w:left="851" w:hanging="851"/>
        <w:rPr>
          <w:rFonts w:asciiTheme="minorHAnsi" w:hAnsiTheme="minorHAnsi" w:cstheme="minorHAnsi"/>
          <w:lang w:val="es-ES"/>
        </w:rPr>
      </w:pPr>
      <w:r w:rsidRPr="00404610">
        <w:rPr>
          <w:rFonts w:asciiTheme="minorHAnsi" w:hAnsiTheme="minorHAnsi" w:cstheme="minorHAnsi"/>
          <w:lang w:val="es-ES"/>
        </w:rPr>
        <w:t>66.</w:t>
      </w:r>
      <w:r w:rsidRPr="00404610">
        <w:rPr>
          <w:rFonts w:asciiTheme="minorHAnsi" w:hAnsiTheme="minorHAnsi" w:cstheme="minorHAnsi"/>
          <w:lang w:val="es-ES"/>
        </w:rPr>
        <w:tab/>
        <w:t xml:space="preserve">Salminen P, Tuominen R, Paajanen H, Rautio T, Nordstrom P, Aarnio M, et al. </w:t>
      </w:r>
      <w:r w:rsidRPr="00C52452">
        <w:rPr>
          <w:rFonts w:asciiTheme="minorHAnsi" w:hAnsiTheme="minorHAnsi" w:cstheme="minorHAnsi"/>
        </w:rPr>
        <w:t xml:space="preserve">Five-Year Follow-up of Antibiotic Therapy for Uncomplicated Acute Appendicitis in the APPAC Randomized Clinical Trial. </w:t>
      </w:r>
      <w:r w:rsidRPr="00404610">
        <w:rPr>
          <w:rFonts w:asciiTheme="minorHAnsi" w:hAnsiTheme="minorHAnsi" w:cstheme="minorHAnsi"/>
          <w:i/>
          <w:lang w:val="es-ES"/>
        </w:rPr>
        <w:t>JAMA</w:t>
      </w:r>
      <w:r w:rsidRPr="00404610">
        <w:rPr>
          <w:rFonts w:asciiTheme="minorHAnsi" w:hAnsiTheme="minorHAnsi" w:cstheme="minorHAnsi"/>
          <w:lang w:val="es-ES"/>
        </w:rPr>
        <w:t xml:space="preserve"> 2018;320(12):1259-65</w:t>
      </w:r>
    </w:p>
    <w:p w14:paraId="38B12E73" w14:textId="4523A609"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lang w:val="es-ES"/>
        </w:rPr>
        <w:t>67.</w:t>
      </w:r>
      <w:r w:rsidRPr="00404610">
        <w:rPr>
          <w:rFonts w:asciiTheme="minorHAnsi" w:hAnsiTheme="minorHAnsi" w:cstheme="minorHAnsi"/>
          <w:lang w:val="es-ES"/>
        </w:rPr>
        <w:tab/>
        <w:t xml:space="preserve">Sippola S, Haijanen J, Viinikainen L, Gronroos J, Paajanen H, Rautio T, et al. </w:t>
      </w:r>
      <w:r w:rsidRPr="00C52452">
        <w:rPr>
          <w:rFonts w:asciiTheme="minorHAnsi" w:hAnsiTheme="minorHAnsi" w:cstheme="minorHAnsi"/>
        </w:rPr>
        <w:t xml:space="preserve">Quality of Life and Patient Satisfaction at 7-Year Follow-up of Antibiotic Therapy vs </w:t>
      </w:r>
      <w:r w:rsidR="00554E7D" w:rsidRPr="00C52452">
        <w:rPr>
          <w:rFonts w:asciiTheme="minorHAnsi" w:hAnsiTheme="minorHAnsi" w:cstheme="minorHAnsi"/>
        </w:rPr>
        <w:t>Appendicectomy</w:t>
      </w:r>
      <w:r w:rsidRPr="00C52452">
        <w:rPr>
          <w:rFonts w:asciiTheme="minorHAnsi" w:hAnsiTheme="minorHAnsi" w:cstheme="minorHAnsi"/>
        </w:rPr>
        <w:t xml:space="preserve"> for Uncomplicated Acute Appendicitis: A Secondary Analysis of a Randomized Clinical Trial. </w:t>
      </w:r>
      <w:r w:rsidRPr="00C52452">
        <w:rPr>
          <w:rFonts w:asciiTheme="minorHAnsi" w:hAnsiTheme="minorHAnsi" w:cstheme="minorHAnsi"/>
          <w:i/>
        </w:rPr>
        <w:t>JAMA Surg</w:t>
      </w:r>
      <w:r w:rsidRPr="00C52452">
        <w:rPr>
          <w:rFonts w:asciiTheme="minorHAnsi" w:hAnsiTheme="minorHAnsi" w:cstheme="minorHAnsi"/>
        </w:rPr>
        <w:t xml:space="preserve"> 2020;155(4):283-9</w:t>
      </w:r>
    </w:p>
    <w:p w14:paraId="004FB66A" w14:textId="218F9B34"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68.</w:t>
      </w:r>
      <w:r w:rsidRPr="00C52452">
        <w:rPr>
          <w:rFonts w:asciiTheme="minorHAnsi" w:hAnsiTheme="minorHAnsi" w:cstheme="minorHAnsi"/>
        </w:rPr>
        <w:tab/>
        <w:t>Bell H WA, Hernandez M, Grieve R, Faria R, Gibson L, Grimm S</w:t>
      </w:r>
      <w:r w:rsidR="00D46A68" w:rsidRPr="00C52452">
        <w:rPr>
          <w:rFonts w:asciiTheme="minorHAnsi" w:hAnsiTheme="minorHAnsi" w:cstheme="minorHAnsi"/>
        </w:rPr>
        <w:t>.</w:t>
      </w:r>
      <w:r w:rsidRPr="00C52452">
        <w:rPr>
          <w:rFonts w:asciiTheme="minorHAnsi" w:hAnsiTheme="minorHAnsi" w:cstheme="minorHAnsi"/>
        </w:rPr>
        <w:t xml:space="preserve"> </w:t>
      </w:r>
      <w:r w:rsidRPr="00C52452">
        <w:rPr>
          <w:rFonts w:asciiTheme="minorHAnsi" w:hAnsiTheme="minorHAnsi" w:cstheme="minorHAnsi"/>
          <w:i/>
        </w:rPr>
        <w:t>The use of real world data for the estimation of treatment effects in NICE decision making: Report by the Decision Support Unit</w:t>
      </w:r>
      <w:r w:rsidRPr="00C52452">
        <w:rPr>
          <w:rFonts w:asciiTheme="minorHAnsi" w:hAnsiTheme="minorHAnsi" w:cstheme="minorHAnsi"/>
        </w:rPr>
        <w:t xml:space="preserve">. </w:t>
      </w:r>
      <w:r w:rsidR="00D46A68" w:rsidRPr="00C52452">
        <w:rPr>
          <w:rFonts w:asciiTheme="minorHAnsi" w:hAnsiTheme="minorHAnsi" w:cstheme="minorHAnsi"/>
        </w:rPr>
        <w:t>Sheffield: University of Sheffield,</w:t>
      </w:r>
      <w:r w:rsidRPr="00C52452">
        <w:rPr>
          <w:rFonts w:asciiTheme="minorHAnsi" w:hAnsiTheme="minorHAnsi" w:cstheme="minorHAnsi"/>
        </w:rPr>
        <w:t xml:space="preserve"> 2016.</w:t>
      </w:r>
    </w:p>
    <w:p w14:paraId="0D15C2AC" w14:textId="2E33267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69.</w:t>
      </w:r>
      <w:r w:rsidRPr="00C52452">
        <w:rPr>
          <w:rFonts w:asciiTheme="minorHAnsi" w:hAnsiTheme="minorHAnsi" w:cstheme="minorHAnsi"/>
        </w:rPr>
        <w:tab/>
      </w:r>
      <w:r w:rsidR="00D46A68" w:rsidRPr="00C52452">
        <w:rPr>
          <w:rFonts w:asciiTheme="minorHAnsi" w:hAnsiTheme="minorHAnsi" w:cstheme="minorHAnsi"/>
        </w:rPr>
        <w:t>Faria R, Hernández Alava M, Manca A, Wailoo AJ</w:t>
      </w:r>
      <w:r w:rsidRPr="00C52452">
        <w:rPr>
          <w:rFonts w:asciiTheme="minorHAnsi" w:hAnsiTheme="minorHAnsi" w:cstheme="minorHAnsi"/>
        </w:rPr>
        <w:t xml:space="preserve">. </w:t>
      </w:r>
      <w:r w:rsidRPr="00C52452">
        <w:rPr>
          <w:rFonts w:asciiTheme="minorHAnsi" w:hAnsiTheme="minorHAnsi" w:cstheme="minorHAnsi"/>
          <w:i/>
        </w:rPr>
        <w:t xml:space="preserve">The use of observational data to inform estimates of treatment effectiveness in technology appraisal: </w:t>
      </w:r>
      <w:r w:rsidR="00D46A68" w:rsidRPr="00C52452">
        <w:rPr>
          <w:rFonts w:asciiTheme="minorHAnsi" w:hAnsiTheme="minorHAnsi" w:cstheme="minorHAnsi"/>
          <w:i/>
        </w:rPr>
        <w:t>m</w:t>
      </w:r>
      <w:r w:rsidRPr="00C52452">
        <w:rPr>
          <w:rFonts w:asciiTheme="minorHAnsi" w:hAnsiTheme="minorHAnsi" w:cstheme="minorHAnsi"/>
          <w:i/>
        </w:rPr>
        <w:t>ethods for comparative individual patient data</w:t>
      </w:r>
      <w:r w:rsidRPr="00C52452">
        <w:rPr>
          <w:rFonts w:asciiTheme="minorHAnsi" w:hAnsiTheme="minorHAnsi" w:cstheme="minorHAnsi"/>
        </w:rPr>
        <w:t xml:space="preserve">. </w:t>
      </w:r>
      <w:r w:rsidR="00D46A68" w:rsidRPr="00C52452">
        <w:rPr>
          <w:rFonts w:asciiTheme="minorHAnsi" w:hAnsiTheme="minorHAnsi" w:cstheme="minorHAnsi"/>
        </w:rPr>
        <w:t>Sheffield: University of Sheffield,</w:t>
      </w:r>
      <w:r w:rsidRPr="00C52452">
        <w:rPr>
          <w:rFonts w:asciiTheme="minorHAnsi" w:hAnsiTheme="minorHAnsi" w:cstheme="minorHAnsi"/>
        </w:rPr>
        <w:t xml:space="preserve"> 2015.</w:t>
      </w:r>
    </w:p>
    <w:p w14:paraId="16DA02E0" w14:textId="7CE679BC"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70.</w:t>
      </w:r>
      <w:r w:rsidRPr="00C52452">
        <w:rPr>
          <w:rFonts w:asciiTheme="minorHAnsi" w:hAnsiTheme="minorHAnsi" w:cstheme="minorHAnsi"/>
        </w:rPr>
        <w:tab/>
        <w:t xml:space="preserve">Gillies C FN, Grieve R, Sekhon J, Forder J. </w:t>
      </w:r>
      <w:r w:rsidRPr="00C52452">
        <w:rPr>
          <w:rFonts w:asciiTheme="minorHAnsi" w:hAnsiTheme="minorHAnsi" w:cstheme="minorHAnsi"/>
          <w:i/>
        </w:rPr>
        <w:t>Advancing quantitative methods for the evaluation of complex interventions</w:t>
      </w:r>
      <w:r w:rsidRPr="00C52452">
        <w:rPr>
          <w:rFonts w:asciiTheme="minorHAnsi" w:hAnsiTheme="minorHAnsi" w:cstheme="minorHAnsi"/>
        </w:rPr>
        <w:t>. In: Raine R FR, Barratt H, Bevan G, Black N, Boaden R, Bower P</w:t>
      </w:r>
      <w:r w:rsidR="00D46A68" w:rsidRPr="00C52452">
        <w:rPr>
          <w:rFonts w:asciiTheme="minorHAnsi" w:hAnsiTheme="minorHAnsi" w:cstheme="minorHAnsi"/>
        </w:rPr>
        <w:t>, et al (eds)</w:t>
      </w:r>
      <w:r w:rsidRPr="00C52452">
        <w:rPr>
          <w:rFonts w:asciiTheme="minorHAnsi" w:hAnsiTheme="minorHAnsi" w:cstheme="minorHAnsi"/>
        </w:rPr>
        <w:t xml:space="preserve">. Challenges, solutions and future directions in the evaluation of service innovations in health care and public health. Southampton (UK): NIHR </w:t>
      </w:r>
      <w:r w:rsidR="00D46A68" w:rsidRPr="00C52452">
        <w:rPr>
          <w:rFonts w:asciiTheme="minorHAnsi" w:hAnsiTheme="minorHAnsi" w:cstheme="minorHAnsi"/>
        </w:rPr>
        <w:t>Journals Library (HS&amp;DR).</w:t>
      </w:r>
      <w:r w:rsidR="00D46A68" w:rsidRPr="00C52452">
        <w:t xml:space="preserve"> </w:t>
      </w:r>
      <w:r w:rsidR="00D46A68" w:rsidRPr="00C52452">
        <w:rPr>
          <w:rFonts w:asciiTheme="minorHAnsi" w:hAnsiTheme="minorHAnsi" w:cstheme="minorHAnsi"/>
        </w:rPr>
        <w:t>Available from: https://www.ncbi.nlm.nih.gov/books/NBK361260/ doi: 10.3310/hsdr04160-37</w:t>
      </w:r>
    </w:p>
    <w:p w14:paraId="44AD0AAE" w14:textId="6E36383E"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71.</w:t>
      </w:r>
      <w:r w:rsidRPr="00C52452">
        <w:rPr>
          <w:rFonts w:asciiTheme="minorHAnsi" w:hAnsiTheme="minorHAnsi" w:cstheme="minorHAnsi"/>
        </w:rPr>
        <w:tab/>
        <w:t xml:space="preserve">Basu A. Economics of individualization in comparative effectiveness research and a basis for a patient-centered health care. </w:t>
      </w:r>
      <w:r w:rsidRPr="00C52452">
        <w:rPr>
          <w:rFonts w:asciiTheme="minorHAnsi" w:hAnsiTheme="minorHAnsi" w:cstheme="minorHAnsi"/>
          <w:i/>
        </w:rPr>
        <w:t>J Health Econ</w:t>
      </w:r>
      <w:r w:rsidRPr="00C52452">
        <w:rPr>
          <w:rFonts w:asciiTheme="minorHAnsi" w:hAnsiTheme="minorHAnsi" w:cstheme="minorHAnsi"/>
        </w:rPr>
        <w:t xml:space="preserve"> 2011;30(3):549-59</w:t>
      </w:r>
    </w:p>
    <w:p w14:paraId="3D7F9276" w14:textId="5A36F099"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72.</w:t>
      </w:r>
      <w:r w:rsidRPr="00C52452">
        <w:rPr>
          <w:rFonts w:asciiTheme="minorHAnsi" w:hAnsiTheme="minorHAnsi" w:cstheme="minorHAnsi"/>
        </w:rPr>
        <w:tab/>
        <w:t xml:space="preserve">Pennington M, Grieve R, Sekhon JS, Gregg P, Black N, van der Meulen JH. Cemented, cementless, and hybrid prostheses for total hip replacement: cost effectiveness analysis. </w:t>
      </w:r>
      <w:r w:rsidRPr="00C52452">
        <w:rPr>
          <w:rFonts w:asciiTheme="minorHAnsi" w:hAnsiTheme="minorHAnsi" w:cstheme="minorHAnsi"/>
          <w:i/>
        </w:rPr>
        <w:t>BMJ</w:t>
      </w:r>
      <w:r w:rsidRPr="00C52452">
        <w:rPr>
          <w:rFonts w:asciiTheme="minorHAnsi" w:hAnsiTheme="minorHAnsi" w:cstheme="minorHAnsi"/>
        </w:rPr>
        <w:t xml:space="preserve"> 2013;346:f1026</w:t>
      </w:r>
    </w:p>
    <w:p w14:paraId="6222818C" w14:textId="08B901F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73.</w:t>
      </w:r>
      <w:r w:rsidRPr="00C52452">
        <w:rPr>
          <w:rFonts w:asciiTheme="minorHAnsi" w:hAnsiTheme="minorHAnsi" w:cstheme="minorHAnsi"/>
        </w:rPr>
        <w:tab/>
        <w:t xml:space="preserve">Kwong E, Abel G, Black N. Can Patient Reported Outcomes (PROs) from Population Surveys Provide Accurate Estimates of Pre-Admission Health Status of Emergency Hospital Admissions? </w:t>
      </w:r>
      <w:r w:rsidRPr="00C52452">
        <w:rPr>
          <w:rFonts w:asciiTheme="minorHAnsi" w:hAnsiTheme="minorHAnsi" w:cstheme="minorHAnsi"/>
          <w:i/>
        </w:rPr>
        <w:t>Patient Relat Outcome Meas</w:t>
      </w:r>
      <w:r w:rsidRPr="00C52452">
        <w:rPr>
          <w:rFonts w:asciiTheme="minorHAnsi" w:hAnsiTheme="minorHAnsi" w:cstheme="minorHAnsi"/>
        </w:rPr>
        <w:t xml:space="preserve"> 2020;11:39-48</w:t>
      </w:r>
    </w:p>
    <w:p w14:paraId="60D0B90A" w14:textId="0084B345"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74.</w:t>
      </w:r>
      <w:r w:rsidRPr="00C52452">
        <w:rPr>
          <w:rFonts w:asciiTheme="minorHAnsi" w:hAnsiTheme="minorHAnsi" w:cstheme="minorHAnsi"/>
        </w:rPr>
        <w:tab/>
        <w:t xml:space="preserve">Haijanen J, Sippola S, Tuominen R, Gronroos J, Paajanen H, Rautio T, et al. Cost analysis of antibiotic therapy versus </w:t>
      </w:r>
      <w:r w:rsidR="00554E7D" w:rsidRPr="00C52452">
        <w:rPr>
          <w:rFonts w:asciiTheme="minorHAnsi" w:hAnsiTheme="minorHAnsi" w:cstheme="minorHAnsi"/>
        </w:rPr>
        <w:t>appendicectomy</w:t>
      </w:r>
      <w:r w:rsidRPr="00C52452">
        <w:rPr>
          <w:rFonts w:asciiTheme="minorHAnsi" w:hAnsiTheme="minorHAnsi" w:cstheme="minorHAnsi"/>
        </w:rPr>
        <w:t xml:space="preserve"> for treatment of uncomplicated acute appendicitis: 5-year results of the APPAC randomized clinical trial. </w:t>
      </w:r>
      <w:r w:rsidRPr="00C52452">
        <w:rPr>
          <w:rFonts w:asciiTheme="minorHAnsi" w:hAnsiTheme="minorHAnsi" w:cstheme="minorHAnsi"/>
          <w:i/>
        </w:rPr>
        <w:t>PLoS One</w:t>
      </w:r>
      <w:r w:rsidRPr="00C52452">
        <w:rPr>
          <w:rFonts w:asciiTheme="minorHAnsi" w:hAnsiTheme="minorHAnsi" w:cstheme="minorHAnsi"/>
        </w:rPr>
        <w:t xml:space="preserve"> 2019;14(7):e0220202</w:t>
      </w:r>
    </w:p>
    <w:p w14:paraId="4257A507" w14:textId="420AE37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75.</w:t>
      </w:r>
      <w:r w:rsidRPr="00C52452">
        <w:rPr>
          <w:rFonts w:asciiTheme="minorHAnsi" w:hAnsiTheme="minorHAnsi" w:cstheme="minorHAnsi"/>
        </w:rPr>
        <w:tab/>
        <w:t xml:space="preserve">Saunders DI, Sinclair RCF, Griffiths B, Pugh E, Harji D, Salas B, et al. Emergency Laparotomy Follow-Up Study (ELFUS): prospective feasibility investigation into postoperative complications and quality of life using patient-reported outcome measures up to a year after emergency laparotomy. </w:t>
      </w:r>
      <w:r w:rsidRPr="00C52452">
        <w:rPr>
          <w:rFonts w:asciiTheme="minorHAnsi" w:hAnsiTheme="minorHAnsi" w:cstheme="minorHAnsi"/>
          <w:i/>
        </w:rPr>
        <w:t>Perioper Med (Lond)</w:t>
      </w:r>
      <w:r w:rsidRPr="00C52452">
        <w:rPr>
          <w:rFonts w:asciiTheme="minorHAnsi" w:hAnsiTheme="minorHAnsi" w:cstheme="minorHAnsi"/>
        </w:rPr>
        <w:t xml:space="preserve"> 2021;10(1):22</w:t>
      </w:r>
    </w:p>
    <w:p w14:paraId="3762C2B4" w14:textId="32FAAE80"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76.</w:t>
      </w:r>
      <w:r w:rsidRPr="00C52452">
        <w:rPr>
          <w:rFonts w:asciiTheme="minorHAnsi" w:hAnsiTheme="minorHAnsi" w:cstheme="minorHAnsi"/>
        </w:rPr>
        <w:tab/>
        <w:t xml:space="preserve">Campbell HE, Stokes EA, Bargo D, Logan RF, Mora A, Hodge R, et al. Costs and quality of life associated with acute upper gastrointestinal bleeding in the UK: cohort analysis of patients in a cluster randomised trial. </w:t>
      </w:r>
      <w:r w:rsidRPr="00C52452">
        <w:rPr>
          <w:rFonts w:asciiTheme="minorHAnsi" w:hAnsiTheme="minorHAnsi" w:cstheme="minorHAnsi"/>
          <w:i/>
        </w:rPr>
        <w:t>BMJ Open</w:t>
      </w:r>
      <w:r w:rsidRPr="00C52452">
        <w:rPr>
          <w:rFonts w:asciiTheme="minorHAnsi" w:hAnsiTheme="minorHAnsi" w:cstheme="minorHAnsi"/>
        </w:rPr>
        <w:t xml:space="preserve"> 2015;5(4):e007230</w:t>
      </w:r>
    </w:p>
    <w:p w14:paraId="62D43FF7" w14:textId="7B3A4AEC"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77.</w:t>
      </w:r>
      <w:r w:rsidRPr="00C52452">
        <w:rPr>
          <w:rFonts w:asciiTheme="minorHAnsi" w:hAnsiTheme="minorHAnsi" w:cstheme="minorHAnsi"/>
        </w:rPr>
        <w:tab/>
        <w:t xml:space="preserve">Investigators IT. Endovascular strategy or open repair for ruptured abdominal aortic aneurysm: one-year outcomes from the IMPROVE randomized trial. </w:t>
      </w:r>
      <w:r w:rsidRPr="00C52452">
        <w:rPr>
          <w:rFonts w:asciiTheme="minorHAnsi" w:hAnsiTheme="minorHAnsi" w:cstheme="minorHAnsi"/>
          <w:i/>
        </w:rPr>
        <w:t>Eur Heart J</w:t>
      </w:r>
      <w:r w:rsidRPr="00C52452">
        <w:rPr>
          <w:rFonts w:asciiTheme="minorHAnsi" w:hAnsiTheme="minorHAnsi" w:cstheme="minorHAnsi"/>
        </w:rPr>
        <w:t xml:space="preserve"> 2015;36(31):2061-9</w:t>
      </w:r>
    </w:p>
    <w:p w14:paraId="03A6D900" w14:textId="2B179E06" w:rsidR="00B86E8C" w:rsidRPr="00C52452" w:rsidRDefault="00B86E8C" w:rsidP="001E5846">
      <w:pPr>
        <w:spacing w:line="360" w:lineRule="auto"/>
        <w:ind w:left="851" w:hanging="851"/>
        <w:rPr>
          <w:rFonts w:asciiTheme="minorHAnsi" w:hAnsiTheme="minorHAnsi" w:cstheme="minorHAnsi"/>
        </w:rPr>
      </w:pPr>
      <w:r w:rsidRPr="00C52452">
        <w:rPr>
          <w:rFonts w:asciiTheme="minorHAnsi" w:hAnsiTheme="minorHAnsi" w:cstheme="minorHAnsi"/>
        </w:rPr>
        <w:t>78.</w:t>
      </w:r>
      <w:r w:rsidRPr="00C52452">
        <w:rPr>
          <w:rFonts w:asciiTheme="minorHAnsi" w:hAnsiTheme="minorHAnsi" w:cstheme="minorHAnsi"/>
        </w:rPr>
        <w:tab/>
      </w:r>
      <w:r w:rsidR="00CC7EE0" w:rsidRPr="00C52452">
        <w:rPr>
          <w:rFonts w:asciiTheme="minorHAnsi" w:hAnsiTheme="minorHAnsi" w:cstheme="minorHAnsi"/>
        </w:rPr>
        <w:t xml:space="preserve">NHS Digital. </w:t>
      </w:r>
      <w:r w:rsidR="00CC7EE0" w:rsidRPr="00C52452">
        <w:rPr>
          <w:rFonts w:asciiTheme="minorHAnsi" w:hAnsiTheme="minorHAnsi" w:cstheme="minorHAnsi"/>
          <w:i/>
        </w:rPr>
        <w:t>Hospital Episode Statistics Dictionary</w:t>
      </w:r>
      <w:r w:rsidR="00CC7EE0" w:rsidRPr="00C52452">
        <w:rPr>
          <w:rFonts w:asciiTheme="minorHAnsi" w:hAnsiTheme="minorHAnsi" w:cstheme="minorHAnsi"/>
        </w:rPr>
        <w:t xml:space="preserve">. Available from: </w:t>
      </w:r>
      <w:r w:rsidR="001E5846" w:rsidRPr="008171D0">
        <w:rPr>
          <w:rFonts w:asciiTheme="minorHAnsi" w:hAnsiTheme="minorHAnsi" w:cstheme="minorHAnsi"/>
        </w:rPr>
        <w:t>https://digital.nhs.uk/data-and-information/data-tools-and-services/data-services/hospital-episode-statistics/hospital-episode-statistics-data-dictionary</w:t>
      </w:r>
      <w:r w:rsidR="001E5846" w:rsidRPr="00C52452">
        <w:rPr>
          <w:rFonts w:asciiTheme="minorHAnsi" w:hAnsiTheme="minorHAnsi" w:cstheme="minorHAnsi"/>
        </w:rPr>
        <w:t xml:space="preserve"> </w:t>
      </w:r>
      <w:r w:rsidR="00CC7EE0" w:rsidRPr="00C52452">
        <w:rPr>
          <w:rFonts w:asciiTheme="minorHAnsi" w:hAnsiTheme="minorHAnsi" w:cstheme="minorHAnsi"/>
        </w:rPr>
        <w:t xml:space="preserve"> </w:t>
      </w:r>
      <w:r w:rsidR="001E5846" w:rsidRPr="00C52452">
        <w:rPr>
          <w:rFonts w:asciiTheme="minorHAnsi" w:hAnsiTheme="minorHAnsi" w:cstheme="minorHAnsi"/>
        </w:rPr>
        <w:t>[accessed September 1, 2018].</w:t>
      </w:r>
    </w:p>
    <w:p w14:paraId="543FF266" w14:textId="136C3698" w:rsidR="001E5846" w:rsidRPr="00C52452" w:rsidRDefault="00B86E8C" w:rsidP="001E5846">
      <w:pPr>
        <w:spacing w:line="360" w:lineRule="auto"/>
        <w:ind w:left="851" w:hanging="851"/>
        <w:rPr>
          <w:rFonts w:asciiTheme="minorHAnsi" w:hAnsiTheme="minorHAnsi" w:cstheme="minorBidi"/>
        </w:rPr>
      </w:pPr>
      <w:r w:rsidRPr="2124E72D">
        <w:rPr>
          <w:rFonts w:asciiTheme="minorHAnsi" w:hAnsiTheme="minorHAnsi" w:cstheme="minorBidi"/>
        </w:rPr>
        <w:t>79.</w:t>
      </w:r>
      <w:r>
        <w:tab/>
      </w:r>
      <w:r w:rsidR="001E5846" w:rsidRPr="2124E72D">
        <w:rPr>
          <w:rFonts w:asciiTheme="minorHAnsi" w:hAnsiTheme="minorHAnsi" w:cstheme="minorBidi"/>
        </w:rPr>
        <w:t>Information Services Division (ISD) Scotland. Theatres Costs-Detailed Tables - SFR 5.10. 2019. Available from:</w:t>
      </w:r>
      <w:r w:rsidR="00CF1D26" w:rsidRPr="00CF1D26">
        <w:t xml:space="preserve"> </w:t>
      </w:r>
      <w:r w:rsidR="00CF1D26" w:rsidRPr="008171D0">
        <w:rPr>
          <w:rFonts w:asciiTheme="minorHAnsi" w:hAnsiTheme="minorHAnsi" w:cstheme="minorBidi"/>
        </w:rPr>
        <w:t>https://www.isdscotland.org/Health-Topics/Finance/Costs/Detailed-Tables/Theatres.asp</w:t>
      </w:r>
      <w:r w:rsidR="00CF1D26">
        <w:rPr>
          <w:rFonts w:asciiTheme="minorHAnsi" w:hAnsiTheme="minorHAnsi" w:cstheme="minorBidi"/>
        </w:rPr>
        <w:t xml:space="preserve"> </w:t>
      </w:r>
      <w:r w:rsidR="00CF1D26" w:rsidRPr="4DCBC6C5">
        <w:rPr>
          <w:rFonts w:eastAsia="Calibri"/>
        </w:rPr>
        <w:t>(accessed 20 April 2022)</w:t>
      </w:r>
    </w:p>
    <w:p w14:paraId="448661DD" w14:textId="194950AF" w:rsidR="00B86E8C" w:rsidRPr="00C52452" w:rsidRDefault="00B86E8C" w:rsidP="001E5846">
      <w:pPr>
        <w:spacing w:line="360" w:lineRule="auto"/>
        <w:ind w:left="851" w:hanging="851"/>
        <w:rPr>
          <w:rFonts w:asciiTheme="minorHAnsi" w:hAnsiTheme="minorHAnsi" w:cstheme="minorHAnsi"/>
        </w:rPr>
      </w:pPr>
      <w:r w:rsidRPr="00C52452">
        <w:rPr>
          <w:rFonts w:asciiTheme="minorHAnsi" w:hAnsiTheme="minorHAnsi" w:cstheme="minorHAnsi"/>
        </w:rPr>
        <w:t>80.</w:t>
      </w:r>
      <w:r w:rsidRPr="00C52452">
        <w:rPr>
          <w:rFonts w:asciiTheme="minorHAnsi" w:hAnsiTheme="minorHAnsi" w:cstheme="minorHAnsi"/>
        </w:rPr>
        <w:tab/>
        <w:t xml:space="preserve">Ismail I, Wolff S, Gronfier A, Mutter D, Swanstrom LL. A cost evaluation methodology for surgical technologies. </w:t>
      </w:r>
      <w:r w:rsidRPr="00C52452">
        <w:rPr>
          <w:rFonts w:asciiTheme="minorHAnsi" w:hAnsiTheme="minorHAnsi" w:cstheme="minorHAnsi"/>
          <w:i/>
        </w:rPr>
        <w:t>Surg Endosc</w:t>
      </w:r>
      <w:r w:rsidRPr="00C52452">
        <w:rPr>
          <w:rFonts w:asciiTheme="minorHAnsi" w:hAnsiTheme="minorHAnsi" w:cstheme="minorHAnsi"/>
        </w:rPr>
        <w:t xml:space="preserve"> 2015;29(8):2423-32</w:t>
      </w:r>
    </w:p>
    <w:p w14:paraId="72D848D1" w14:textId="298CA36B" w:rsidR="001E5846"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81.</w:t>
      </w:r>
      <w:r w:rsidRPr="00C52452">
        <w:rPr>
          <w:rFonts w:asciiTheme="minorHAnsi" w:hAnsiTheme="minorHAnsi" w:cstheme="minorHAnsi"/>
        </w:rPr>
        <w:tab/>
      </w:r>
      <w:r w:rsidR="001E5846" w:rsidRPr="00C52452">
        <w:rPr>
          <w:rFonts w:asciiTheme="minorHAnsi" w:hAnsiTheme="minorHAnsi" w:cstheme="minorHAnsi"/>
        </w:rPr>
        <w:t xml:space="preserve">NHS Improvement. NHS reference costs 2017/2018. London; 2018. Available from: </w:t>
      </w:r>
      <w:r w:rsidR="00D92508" w:rsidRPr="00D92508">
        <w:t>https://webarchive.nationalarchives.gov.uk/ukgwa/20200501111106/https://improvement.nhs.uk/resources/reference-costs/</w:t>
      </w:r>
      <w:r w:rsidR="004E4454">
        <w:t xml:space="preserve"> </w:t>
      </w:r>
      <w:r w:rsidR="004E4454" w:rsidRPr="1D5F5D79">
        <w:rPr>
          <w:rFonts w:eastAsia="Calibri"/>
        </w:rPr>
        <w:t>(accessed 20 April 2022)</w:t>
      </w:r>
    </w:p>
    <w:p w14:paraId="768A7EC3" w14:textId="7FB8E773" w:rsidR="001E5846"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82.</w:t>
      </w:r>
      <w:r w:rsidRPr="00C52452">
        <w:rPr>
          <w:rFonts w:asciiTheme="minorHAnsi" w:hAnsiTheme="minorHAnsi" w:cstheme="minorHAnsi"/>
        </w:rPr>
        <w:tab/>
      </w:r>
      <w:r w:rsidR="001E5846" w:rsidRPr="00C52452">
        <w:rPr>
          <w:rFonts w:asciiTheme="minorHAnsi" w:hAnsiTheme="minorHAnsi" w:cstheme="minorHAnsi"/>
        </w:rPr>
        <w:t>HM Treasury Department. Gross Domestic Product (GDP) deflators: user guide. Available from:</w:t>
      </w:r>
      <w:r w:rsidR="00286AD1">
        <w:rPr>
          <w:rFonts w:asciiTheme="minorHAnsi" w:hAnsiTheme="minorHAnsi" w:cstheme="minorHAnsi"/>
        </w:rPr>
        <w:t xml:space="preserve"> </w:t>
      </w:r>
      <w:r w:rsidR="001E5846" w:rsidRPr="008171D0">
        <w:rPr>
          <w:rFonts w:asciiTheme="minorHAnsi" w:hAnsiTheme="minorHAnsi" w:cstheme="minorHAnsi"/>
        </w:rPr>
        <w:t>https://assets.publishing.service.gov.uk/government/uploads/system/uploads/attachment_data/file/205904/GDP_Deflators_User_Guide.pdf</w:t>
      </w:r>
      <w:r w:rsidR="001E5846" w:rsidRPr="00C52452">
        <w:rPr>
          <w:rFonts w:asciiTheme="minorHAnsi" w:hAnsiTheme="minorHAnsi" w:cstheme="minorHAnsi"/>
        </w:rPr>
        <w:t xml:space="preserve"> </w:t>
      </w:r>
      <w:r w:rsidR="000C5C6B">
        <w:rPr>
          <w:rFonts w:asciiTheme="minorHAnsi" w:hAnsiTheme="minorHAnsi" w:cstheme="minorHAnsi"/>
        </w:rPr>
        <w:t>(</w:t>
      </w:r>
      <w:r w:rsidR="001E5846" w:rsidRPr="00C52452">
        <w:rPr>
          <w:rFonts w:asciiTheme="minorHAnsi" w:hAnsiTheme="minorHAnsi" w:cstheme="minorHAnsi"/>
        </w:rPr>
        <w:t>accessed Aug 19, 2021</w:t>
      </w:r>
      <w:r w:rsidR="000C5C6B">
        <w:rPr>
          <w:rFonts w:asciiTheme="minorHAnsi" w:hAnsiTheme="minorHAnsi" w:cstheme="minorHAnsi"/>
        </w:rPr>
        <w:t>)</w:t>
      </w:r>
    </w:p>
    <w:p w14:paraId="5B9CA7BE" w14:textId="5B0974D9"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83.</w:t>
      </w:r>
      <w:r>
        <w:tab/>
      </w:r>
      <w:r w:rsidRPr="00C52452">
        <w:rPr>
          <w:rFonts w:asciiTheme="minorHAnsi" w:hAnsiTheme="minorHAnsi" w:cstheme="minorHAnsi"/>
        </w:rPr>
        <w:t xml:space="preserve">Sutherland JM, Albanese CM, Crump T, Liu G, Karimuddin A. The minimally important difference of the Gastrointestinal Quality of Life Index for symptomatic gallstone surgery. </w:t>
      </w:r>
      <w:r w:rsidRPr="29F235F0">
        <w:rPr>
          <w:rFonts w:asciiTheme="minorHAnsi" w:hAnsiTheme="minorHAnsi" w:cstheme="minorBidi"/>
          <w:i/>
        </w:rPr>
        <w:t>Surg Endosc</w:t>
      </w:r>
      <w:r w:rsidR="001E5846" w:rsidRPr="29F235F0">
        <w:rPr>
          <w:rFonts w:asciiTheme="minorHAnsi" w:hAnsiTheme="minorHAnsi" w:cstheme="minorBidi"/>
        </w:rPr>
        <w:t xml:space="preserve"> </w:t>
      </w:r>
      <w:r w:rsidRPr="29F235F0">
        <w:rPr>
          <w:rFonts w:asciiTheme="minorHAnsi" w:hAnsiTheme="minorHAnsi" w:cstheme="minorBidi"/>
        </w:rPr>
        <w:t>2021;35(12):6938-48</w:t>
      </w:r>
    </w:p>
    <w:p w14:paraId="23DC08BB" w14:textId="185EC8F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84.</w:t>
      </w:r>
      <w:r w:rsidRPr="00C52452">
        <w:rPr>
          <w:rFonts w:asciiTheme="minorHAnsi" w:hAnsiTheme="minorHAnsi" w:cstheme="minorHAnsi"/>
        </w:rPr>
        <w:tab/>
        <w:t xml:space="preserve">Rutegard M, Gumuscu R, Stylianidis G, Nordin P, Nilsson E, Haapamaki MM. Chronic pain, discomfort, quality of life and impact on sex life after open inguinal hernia mesh repair: an expertise-based randomized clinical trial comparing lightweight and heavyweight mesh. </w:t>
      </w:r>
      <w:r w:rsidRPr="00C52452">
        <w:rPr>
          <w:rFonts w:asciiTheme="minorHAnsi" w:hAnsiTheme="minorHAnsi" w:cstheme="minorHAnsi"/>
          <w:i/>
        </w:rPr>
        <w:t>Hernia</w:t>
      </w:r>
      <w:r w:rsidRPr="00C52452">
        <w:rPr>
          <w:rFonts w:asciiTheme="minorHAnsi" w:hAnsiTheme="minorHAnsi" w:cstheme="minorHAnsi"/>
        </w:rPr>
        <w:t xml:space="preserve"> 2018;22(3):411-8</w:t>
      </w:r>
    </w:p>
    <w:p w14:paraId="4B47A634" w14:textId="0491B710" w:rsidR="00B86E8C" w:rsidRPr="00404610" w:rsidRDefault="00B86E8C" w:rsidP="00B86E8C">
      <w:pPr>
        <w:spacing w:line="360" w:lineRule="auto"/>
        <w:ind w:left="851" w:hanging="851"/>
        <w:rPr>
          <w:rFonts w:asciiTheme="minorHAnsi" w:hAnsiTheme="minorHAnsi" w:cstheme="minorHAnsi"/>
          <w:lang w:val="es-ES"/>
        </w:rPr>
      </w:pPr>
      <w:r w:rsidRPr="00C52452">
        <w:rPr>
          <w:rFonts w:asciiTheme="minorHAnsi" w:hAnsiTheme="minorHAnsi" w:cstheme="minorHAnsi"/>
        </w:rPr>
        <w:t>85.</w:t>
      </w:r>
      <w:r w:rsidRPr="00C52452">
        <w:rPr>
          <w:rFonts w:asciiTheme="minorHAnsi" w:hAnsiTheme="minorHAnsi" w:cstheme="minorHAnsi"/>
        </w:rPr>
        <w:tab/>
        <w:t xml:space="preserve">Young CJ, Zahid A. Randomized controlled trial of colonic stent insertion in non-curable large bowel obstruction: a post hoc cost analysis. </w:t>
      </w:r>
      <w:r w:rsidRPr="00404610">
        <w:rPr>
          <w:rFonts w:asciiTheme="minorHAnsi" w:hAnsiTheme="minorHAnsi" w:cstheme="minorHAnsi"/>
          <w:i/>
          <w:lang w:val="es-ES"/>
        </w:rPr>
        <w:t>Colorectal Dis</w:t>
      </w:r>
      <w:r w:rsidRPr="00404610">
        <w:rPr>
          <w:rFonts w:asciiTheme="minorHAnsi" w:hAnsiTheme="minorHAnsi" w:cstheme="minorHAnsi"/>
          <w:lang w:val="es-ES"/>
        </w:rPr>
        <w:t xml:space="preserve"> 2018;20(4):288-95</w:t>
      </w:r>
    </w:p>
    <w:p w14:paraId="16C0028B" w14:textId="0941A57E"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lang w:val="es-ES"/>
        </w:rPr>
        <w:t>86.</w:t>
      </w:r>
      <w:r w:rsidRPr="00404610">
        <w:rPr>
          <w:rFonts w:asciiTheme="minorHAnsi" w:hAnsiTheme="minorHAnsi" w:cstheme="minorHAnsi"/>
          <w:lang w:val="es-ES"/>
        </w:rPr>
        <w:tab/>
        <w:t xml:space="preserve">McCormack K, Wake B, Perez J, Fraser C, Cook J, McIntosh E, et al. </w:t>
      </w:r>
      <w:r w:rsidRPr="00C52452">
        <w:rPr>
          <w:rFonts w:asciiTheme="minorHAnsi" w:hAnsiTheme="minorHAnsi" w:cstheme="minorHAnsi"/>
        </w:rPr>
        <w:t xml:space="preserve">Laparoscopic surgery for inguinal hernia repair: systematic review of effectiveness and economic evaluation. </w:t>
      </w:r>
      <w:r w:rsidRPr="00C52452">
        <w:rPr>
          <w:rFonts w:asciiTheme="minorHAnsi" w:hAnsiTheme="minorHAnsi" w:cstheme="minorHAnsi"/>
          <w:i/>
        </w:rPr>
        <w:t>Health Technol Assess</w:t>
      </w:r>
      <w:r w:rsidRPr="00C52452">
        <w:rPr>
          <w:rFonts w:asciiTheme="minorHAnsi" w:hAnsiTheme="minorHAnsi" w:cstheme="minorHAnsi"/>
        </w:rPr>
        <w:t xml:space="preserve"> 2005;9(14):1-203</w:t>
      </w:r>
    </w:p>
    <w:p w14:paraId="5F2E4651" w14:textId="3B9FB5E7"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87.</w:t>
      </w:r>
      <w:r w:rsidRPr="00C52452">
        <w:rPr>
          <w:rFonts w:asciiTheme="minorHAnsi" w:hAnsiTheme="minorHAnsi" w:cstheme="minorHAnsi"/>
        </w:rPr>
        <w:tab/>
        <w:t xml:space="preserve">Sharma P, Boyers D, Scott N, Hernandez R, Fraser C, Cruickshank M, et al. The clinical effectiveness and cost-effectiveness of open mesh repairs in adults presenting with a clinically diagnosed primary unilateral inguinal hernia who are operated in an elective setting: systematic review and economic evaluation. </w:t>
      </w:r>
      <w:r w:rsidRPr="00C52452">
        <w:rPr>
          <w:rFonts w:asciiTheme="minorHAnsi" w:hAnsiTheme="minorHAnsi" w:cstheme="minorHAnsi"/>
          <w:i/>
        </w:rPr>
        <w:t>Health Technol Assess</w:t>
      </w:r>
      <w:r w:rsidRPr="00C52452">
        <w:rPr>
          <w:rFonts w:asciiTheme="minorHAnsi" w:hAnsiTheme="minorHAnsi" w:cstheme="minorHAnsi"/>
        </w:rPr>
        <w:t xml:space="preserve"> 2015;19(92):1-142</w:t>
      </w:r>
    </w:p>
    <w:p w14:paraId="0D4C77A2" w14:textId="2AE0A2C8"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88.</w:t>
      </w:r>
      <w:r w:rsidRPr="00C52452">
        <w:rPr>
          <w:rFonts w:asciiTheme="minorHAnsi" w:hAnsiTheme="minorHAnsi" w:cstheme="minorHAnsi"/>
        </w:rPr>
        <w:tab/>
        <w:t xml:space="preserve">Ara R, Brazier J, Zouraq IA. The Use of Health State Utility Values in Decision Models. </w:t>
      </w:r>
      <w:r w:rsidRPr="00C52452">
        <w:rPr>
          <w:rFonts w:asciiTheme="minorHAnsi" w:hAnsiTheme="minorHAnsi" w:cstheme="minorHAnsi"/>
          <w:i/>
        </w:rPr>
        <w:t>Pharmacoeconomics</w:t>
      </w:r>
      <w:r w:rsidRPr="00C52452">
        <w:rPr>
          <w:rFonts w:asciiTheme="minorHAnsi" w:hAnsiTheme="minorHAnsi" w:cstheme="minorHAnsi"/>
        </w:rPr>
        <w:t xml:space="preserve"> 2017;35(Suppl 1):77-88</w:t>
      </w:r>
    </w:p>
    <w:p w14:paraId="49962C09" w14:textId="06D1A708"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89.</w:t>
      </w:r>
      <w:r w:rsidRPr="00C52452">
        <w:rPr>
          <w:rFonts w:asciiTheme="minorHAnsi" w:hAnsiTheme="minorHAnsi" w:cstheme="minorHAnsi"/>
        </w:rPr>
        <w:tab/>
        <w:t xml:space="preserve">Ara R, Brazier JE. Populating an economic model with health state utility values: moving toward better practice. </w:t>
      </w:r>
      <w:r w:rsidRPr="00C52452">
        <w:rPr>
          <w:rFonts w:asciiTheme="minorHAnsi" w:hAnsiTheme="minorHAnsi" w:cstheme="minorHAnsi"/>
          <w:i/>
        </w:rPr>
        <w:t>Value Health</w:t>
      </w:r>
      <w:r w:rsidRPr="00C52452">
        <w:rPr>
          <w:rFonts w:asciiTheme="minorHAnsi" w:hAnsiTheme="minorHAnsi" w:cstheme="minorHAnsi"/>
        </w:rPr>
        <w:t xml:space="preserve"> 2010 Aug;13(5):509-18</w:t>
      </w:r>
    </w:p>
    <w:p w14:paraId="2124393A" w14:textId="5E5AEFA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90.</w:t>
      </w:r>
      <w:r>
        <w:tab/>
      </w:r>
      <w:r w:rsidRPr="00C52452">
        <w:rPr>
          <w:rFonts w:asciiTheme="minorHAnsi" w:hAnsiTheme="minorHAnsi" w:cstheme="minorHAnsi"/>
        </w:rPr>
        <w:t xml:space="preserve">Widding-Havneraas T, Chaulagain A, Lyhmann I, Zachrisson HD, Elwert F, Markussen S, et al. Preference-based instrumental variables in health research rely on important and underreported assumptions: a systematic review. </w:t>
      </w:r>
      <w:r w:rsidRPr="00C52452">
        <w:rPr>
          <w:rFonts w:asciiTheme="minorHAnsi" w:hAnsiTheme="minorHAnsi" w:cstheme="minorHAnsi"/>
          <w:i/>
        </w:rPr>
        <w:t>J Clin Epidemiol</w:t>
      </w:r>
      <w:r w:rsidRPr="00C52452">
        <w:rPr>
          <w:rFonts w:asciiTheme="minorHAnsi" w:hAnsiTheme="minorHAnsi" w:cstheme="minorHAnsi"/>
        </w:rPr>
        <w:t xml:space="preserve"> 2021</w:t>
      </w:r>
      <w:r w:rsidR="7192117C" w:rsidRPr="11D71CC5">
        <w:rPr>
          <w:rFonts w:asciiTheme="minorHAnsi" w:hAnsiTheme="minorHAnsi" w:cstheme="minorBidi"/>
        </w:rPr>
        <w:t>;139:269-78</w:t>
      </w:r>
      <w:r w:rsidR="007D5C12" w:rsidRPr="11D71CC5">
        <w:rPr>
          <w:rFonts w:asciiTheme="minorHAnsi" w:hAnsiTheme="minorHAnsi" w:cstheme="minorBidi"/>
        </w:rPr>
        <w:t>tps://doi.org/10.1016/j.jclinepi.2021.06.006</w:t>
      </w:r>
    </w:p>
    <w:p w14:paraId="05B42563" w14:textId="77777777"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91.</w:t>
      </w:r>
      <w:r w:rsidRPr="00C52452">
        <w:rPr>
          <w:rFonts w:asciiTheme="minorHAnsi" w:hAnsiTheme="minorHAnsi" w:cstheme="minorHAnsi"/>
        </w:rPr>
        <w:tab/>
        <w:t xml:space="preserve">Hosmer DW, Lemeshow, S. </w:t>
      </w:r>
      <w:r w:rsidRPr="00C52452">
        <w:rPr>
          <w:rFonts w:asciiTheme="minorHAnsi" w:hAnsiTheme="minorHAnsi" w:cstheme="minorHAnsi"/>
          <w:i/>
        </w:rPr>
        <w:t>Applied Logistic Regression</w:t>
      </w:r>
      <w:r w:rsidRPr="00C52452">
        <w:rPr>
          <w:rFonts w:asciiTheme="minorHAnsi" w:hAnsiTheme="minorHAnsi" w:cstheme="minorHAnsi"/>
        </w:rPr>
        <w:t>. 2nd ed. New York: Wiley; 2000.</w:t>
      </w:r>
    </w:p>
    <w:p w14:paraId="6B0B0D18" w14:textId="0FF501B5"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92.</w:t>
      </w:r>
      <w:r w:rsidRPr="00C52452">
        <w:rPr>
          <w:rFonts w:asciiTheme="minorHAnsi" w:hAnsiTheme="minorHAnsi" w:cstheme="minorHAnsi"/>
        </w:rPr>
        <w:tab/>
        <w:t xml:space="preserve">Pregibon D. Goodness of Link Tests for Generalized Linear Models. </w:t>
      </w:r>
      <w:r w:rsidRPr="00C52452">
        <w:rPr>
          <w:rFonts w:asciiTheme="minorHAnsi" w:hAnsiTheme="minorHAnsi" w:cstheme="minorHAnsi"/>
          <w:i/>
        </w:rPr>
        <w:t>J Roy Stat Soc Ser C (Appl</w:t>
      </w:r>
      <w:r w:rsidR="007D5C12" w:rsidRPr="00C52452">
        <w:rPr>
          <w:rFonts w:asciiTheme="minorHAnsi" w:hAnsiTheme="minorHAnsi" w:cstheme="minorHAnsi"/>
          <w:i/>
        </w:rPr>
        <w:t>ied</w:t>
      </w:r>
      <w:r w:rsidRPr="00C52452">
        <w:rPr>
          <w:rFonts w:asciiTheme="minorHAnsi" w:hAnsiTheme="minorHAnsi" w:cstheme="minorHAnsi"/>
          <w:i/>
        </w:rPr>
        <w:t xml:space="preserve"> Stat)</w:t>
      </w:r>
      <w:r w:rsidRPr="00C52452">
        <w:rPr>
          <w:rFonts w:asciiTheme="minorHAnsi" w:hAnsiTheme="minorHAnsi" w:cstheme="minorHAnsi"/>
        </w:rPr>
        <w:t xml:space="preserve"> 1980;29(1):14-5</w:t>
      </w:r>
    </w:p>
    <w:p w14:paraId="22025286" w14:textId="129FB5E5" w:rsidR="00B86E8C" w:rsidRPr="00404610" w:rsidRDefault="00B86E8C" w:rsidP="00B86E8C">
      <w:pPr>
        <w:spacing w:line="360" w:lineRule="auto"/>
        <w:ind w:left="851" w:hanging="851"/>
        <w:rPr>
          <w:rFonts w:asciiTheme="minorHAnsi" w:hAnsiTheme="minorHAnsi" w:cstheme="minorHAnsi"/>
          <w:lang w:val="nl-NL"/>
        </w:rPr>
      </w:pPr>
      <w:r w:rsidRPr="00C52452">
        <w:rPr>
          <w:rFonts w:asciiTheme="minorHAnsi" w:hAnsiTheme="minorHAnsi" w:cstheme="minorHAnsi"/>
        </w:rPr>
        <w:t>93.</w:t>
      </w:r>
      <w:r w:rsidRPr="00C52452">
        <w:rPr>
          <w:rFonts w:asciiTheme="minorHAnsi" w:hAnsiTheme="minorHAnsi" w:cstheme="minorHAnsi"/>
        </w:rPr>
        <w:tab/>
        <w:t xml:space="preserve">Wilson E, Gurusamy K, Gluud C, Davidson BR. Cost-utility and value-of-information analysis of early versus delayed laparoscopic cholecystectomy for acute cholecystitis. </w:t>
      </w:r>
      <w:r w:rsidRPr="00404610">
        <w:rPr>
          <w:rFonts w:asciiTheme="minorHAnsi" w:hAnsiTheme="minorHAnsi" w:cstheme="minorHAnsi"/>
          <w:i/>
          <w:lang w:val="nl-NL"/>
        </w:rPr>
        <w:t>Br J Surg</w:t>
      </w:r>
      <w:r w:rsidRPr="00404610">
        <w:rPr>
          <w:rFonts w:asciiTheme="minorHAnsi" w:hAnsiTheme="minorHAnsi" w:cstheme="minorHAnsi"/>
          <w:lang w:val="nl-NL"/>
        </w:rPr>
        <w:t xml:space="preserve"> 2010;97(2):210-9</w:t>
      </w:r>
    </w:p>
    <w:p w14:paraId="4E249B72" w14:textId="7063A074"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lang w:val="nl-NL"/>
        </w:rPr>
        <w:t>94.</w:t>
      </w:r>
      <w:r w:rsidRPr="00404610">
        <w:rPr>
          <w:rFonts w:asciiTheme="minorHAnsi" w:hAnsiTheme="minorHAnsi" w:cstheme="minorHAnsi"/>
          <w:lang w:val="nl-NL"/>
        </w:rPr>
        <w:tab/>
        <w:t xml:space="preserve">Bolkenstein HE, de Wit GA, Consten ECJ, Van de Wall BJM, Broeders I, Draaisma WA. </w:t>
      </w:r>
      <w:r w:rsidRPr="00C52452">
        <w:rPr>
          <w:rFonts w:asciiTheme="minorHAnsi" w:hAnsiTheme="minorHAnsi" w:cstheme="minorHAnsi"/>
        </w:rPr>
        <w:t xml:space="preserve">Cost-effectiveness analysis of a multicentre randomized clinical trial comparing surgery with conservative management for recurrent and ongoing diverticulitis (DIRECT trial). </w:t>
      </w:r>
      <w:r w:rsidRPr="00C52452">
        <w:rPr>
          <w:rFonts w:asciiTheme="minorHAnsi" w:hAnsiTheme="minorHAnsi" w:cstheme="minorHAnsi"/>
          <w:i/>
        </w:rPr>
        <w:t>Br J Surg</w:t>
      </w:r>
      <w:r w:rsidRPr="00C52452">
        <w:rPr>
          <w:rFonts w:asciiTheme="minorHAnsi" w:hAnsiTheme="minorHAnsi" w:cstheme="minorHAnsi"/>
        </w:rPr>
        <w:t xml:space="preserve"> 2019;106(4):448-57</w:t>
      </w:r>
    </w:p>
    <w:p w14:paraId="6D6C4A2A" w14:textId="2F36B450"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95.</w:t>
      </w:r>
      <w:r w:rsidRPr="00C52452">
        <w:rPr>
          <w:rFonts w:asciiTheme="minorHAnsi" w:hAnsiTheme="minorHAnsi" w:cstheme="minorHAnsi"/>
        </w:rPr>
        <w:tab/>
        <w:t xml:space="preserve">Palmqvist E, Larsson K, Anell A, Hjalmarsson C. Prospective study of pain, quality of life and the economic impact of open inguinal hernia repair. </w:t>
      </w:r>
      <w:r w:rsidRPr="00C52452">
        <w:rPr>
          <w:rFonts w:asciiTheme="minorHAnsi" w:hAnsiTheme="minorHAnsi" w:cstheme="minorHAnsi"/>
          <w:i/>
        </w:rPr>
        <w:t>Br J Surg</w:t>
      </w:r>
      <w:r w:rsidRPr="00C52452">
        <w:rPr>
          <w:rFonts w:asciiTheme="minorHAnsi" w:hAnsiTheme="minorHAnsi" w:cstheme="minorHAnsi"/>
        </w:rPr>
        <w:t xml:space="preserve"> 2013;100(11):1483-8</w:t>
      </w:r>
    </w:p>
    <w:p w14:paraId="6E6620B8" w14:textId="3ACFCFEF"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96.</w:t>
      </w:r>
      <w:r w:rsidRPr="00C52452">
        <w:rPr>
          <w:rFonts w:asciiTheme="minorHAnsi" w:hAnsiTheme="minorHAnsi" w:cstheme="minorHAnsi"/>
        </w:rPr>
        <w:tab/>
        <w:t xml:space="preserve">Behman R, Nathens AB, Pechlivanoglou P, Karanicolas P, Jung J, Look Hong N. Early operative management in patients with adhesive small bowel obstruction: population-based cost analysis. </w:t>
      </w:r>
      <w:r w:rsidRPr="00C52452">
        <w:rPr>
          <w:rFonts w:asciiTheme="minorHAnsi" w:hAnsiTheme="minorHAnsi" w:cstheme="minorHAnsi"/>
          <w:i/>
        </w:rPr>
        <w:t>BJS Open</w:t>
      </w:r>
      <w:r w:rsidRPr="00C52452">
        <w:rPr>
          <w:rFonts w:asciiTheme="minorHAnsi" w:hAnsiTheme="minorHAnsi" w:cstheme="minorHAnsi"/>
        </w:rPr>
        <w:t xml:space="preserve"> 2020;4(5):914-23</w:t>
      </w:r>
    </w:p>
    <w:p w14:paraId="5F022F99" w14:textId="73475F75"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97.</w:t>
      </w:r>
      <w:r w:rsidRPr="00C52452">
        <w:rPr>
          <w:rFonts w:asciiTheme="minorHAnsi" w:hAnsiTheme="minorHAnsi" w:cstheme="minorHAnsi"/>
        </w:rPr>
        <w:tab/>
        <w:t xml:space="preserve">Kreif N, Grieve R, Sadique MZ. Statistical methods for cost-effectiveness analyses that use observational data: a critical appraisal tool and review of current practice. </w:t>
      </w:r>
      <w:r w:rsidRPr="00C52452">
        <w:rPr>
          <w:rFonts w:asciiTheme="minorHAnsi" w:hAnsiTheme="minorHAnsi" w:cstheme="minorHAnsi"/>
          <w:i/>
        </w:rPr>
        <w:t>Health Econ</w:t>
      </w:r>
      <w:r w:rsidRPr="00C52452">
        <w:rPr>
          <w:rFonts w:asciiTheme="minorHAnsi" w:hAnsiTheme="minorHAnsi" w:cstheme="minorHAnsi"/>
        </w:rPr>
        <w:t xml:space="preserve"> 2013;22(4):486-500</w:t>
      </w:r>
    </w:p>
    <w:p w14:paraId="71E8EB0D" w14:textId="5653AA39"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98.</w:t>
      </w:r>
      <w:r w:rsidRPr="00C52452">
        <w:rPr>
          <w:rFonts w:asciiTheme="minorHAnsi" w:hAnsiTheme="minorHAnsi" w:cstheme="minorHAnsi"/>
        </w:rPr>
        <w:tab/>
        <w:t xml:space="preserve">Thorn JC, Turner EL, Hounsome L, Walsh E, Down L, Verne J, et al. Validating the use of Hospital Episode Statistics data and comparison of costing methodologies for economic evaluation: an end-of-life case study from the Cluster randomised triAl of PSA testing for Prostate cancer (CAP). </w:t>
      </w:r>
      <w:r w:rsidRPr="00C52452">
        <w:rPr>
          <w:rFonts w:asciiTheme="minorHAnsi" w:hAnsiTheme="minorHAnsi" w:cstheme="minorHAnsi"/>
          <w:i/>
        </w:rPr>
        <w:t>BMJ Open</w:t>
      </w:r>
      <w:r w:rsidRPr="00C52452">
        <w:rPr>
          <w:rFonts w:asciiTheme="minorHAnsi" w:hAnsiTheme="minorHAnsi" w:cstheme="minorHAnsi"/>
        </w:rPr>
        <w:t xml:space="preserve"> 2016;6(4):e011063</w:t>
      </w:r>
    </w:p>
    <w:p w14:paraId="0F8E5633" w14:textId="32D236B9"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99.</w:t>
      </w:r>
      <w:r w:rsidRPr="00C52452">
        <w:rPr>
          <w:rFonts w:asciiTheme="minorHAnsi" w:hAnsiTheme="minorHAnsi" w:cstheme="minorHAnsi"/>
        </w:rPr>
        <w:tab/>
      </w:r>
      <w:r w:rsidR="007D5C12" w:rsidRPr="00C52452">
        <w:rPr>
          <w:rFonts w:asciiTheme="minorHAnsi" w:hAnsiTheme="minorHAnsi" w:cstheme="minorHAnsi"/>
        </w:rPr>
        <w:t>Lee K, Bargagli-Stoffi FJ, Dominici F</w:t>
      </w:r>
      <w:r w:rsidRPr="00C52452">
        <w:rPr>
          <w:rFonts w:asciiTheme="minorHAnsi" w:hAnsiTheme="minorHAnsi" w:cstheme="minorHAnsi"/>
        </w:rPr>
        <w:t>. Causal Rule Ensemble: Interpretable Inference of Heterogeneous Treatment Effects. 2020.</w:t>
      </w:r>
      <w:r w:rsidR="007D5C12" w:rsidRPr="00C52452">
        <w:t xml:space="preserve"> </w:t>
      </w:r>
      <w:r w:rsidR="007D5C12" w:rsidRPr="00C52452">
        <w:rPr>
          <w:rFonts w:asciiTheme="minorHAnsi" w:hAnsiTheme="minorHAnsi" w:cstheme="minorHAnsi"/>
        </w:rPr>
        <w:t xml:space="preserve">Available from: </w:t>
      </w:r>
      <w:r w:rsidR="007D5C12" w:rsidRPr="008171D0">
        <w:rPr>
          <w:rFonts w:asciiTheme="minorHAnsi" w:hAnsiTheme="minorHAnsi" w:cstheme="minorHAnsi"/>
        </w:rPr>
        <w:t>http://arxiv.org/abs/2009.09036</w:t>
      </w:r>
    </w:p>
    <w:p w14:paraId="628D9B65" w14:textId="09BC9873"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100.</w:t>
      </w:r>
      <w:r w:rsidRPr="00C52452">
        <w:rPr>
          <w:rFonts w:asciiTheme="minorHAnsi" w:hAnsiTheme="minorHAnsi" w:cstheme="minorHAnsi"/>
        </w:rPr>
        <w:tab/>
        <w:t>Hettiaratchy S, Deakin, D. Guidance for surgeons working during the COVID-19 pandemic from the Surgical Royal Colleges of the United Kingdom and Ireland 2020.</w:t>
      </w:r>
      <w:r w:rsidR="007D5C12" w:rsidRPr="00C52452">
        <w:rPr>
          <w:rFonts w:asciiTheme="minorHAnsi" w:hAnsiTheme="minorHAnsi" w:cstheme="minorHAnsi"/>
        </w:rPr>
        <w:t xml:space="preserve"> Available from </w:t>
      </w:r>
      <w:r w:rsidR="007D5C12" w:rsidRPr="008171D0">
        <w:rPr>
          <w:rFonts w:asciiTheme="minorHAnsi" w:hAnsiTheme="minorHAnsi" w:cstheme="minorHAnsi"/>
        </w:rPr>
        <w:t>https://www.rcseng.ac.uk/coronavirus/joint-guidance-for-surgeons-v1/</w:t>
      </w:r>
      <w:r w:rsidR="007D5C12" w:rsidRPr="00C52452">
        <w:rPr>
          <w:rFonts w:asciiTheme="minorHAnsi" w:hAnsiTheme="minorHAnsi" w:cstheme="minorHAnsi"/>
        </w:rPr>
        <w:t xml:space="preserve"> [accessed Oct 27, 2021]</w:t>
      </w:r>
    </w:p>
    <w:p w14:paraId="6D8F6CB9" w14:textId="3F47898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101.</w:t>
      </w:r>
      <w:r w:rsidRPr="00C52452">
        <w:rPr>
          <w:rFonts w:asciiTheme="minorHAnsi" w:hAnsiTheme="minorHAnsi" w:cstheme="minorHAnsi"/>
        </w:rPr>
        <w:tab/>
      </w:r>
      <w:r w:rsidR="00454738" w:rsidRPr="00C52452">
        <w:rPr>
          <w:rFonts w:asciiTheme="minorHAnsi" w:hAnsiTheme="minorHAnsi" w:cstheme="minorHAnsi"/>
        </w:rPr>
        <w:t>RIFT Study Group on behalf of the West Midlands Research Collaborative</w:t>
      </w:r>
      <w:r w:rsidRPr="00C52452">
        <w:rPr>
          <w:rFonts w:asciiTheme="minorHAnsi" w:hAnsiTheme="minorHAnsi" w:cstheme="minorHAnsi"/>
        </w:rPr>
        <w:t xml:space="preserve">. Evaluation of appendicitis risk prediction models in adults with suspected appendicitis. </w:t>
      </w:r>
      <w:r w:rsidRPr="00C52452">
        <w:rPr>
          <w:rFonts w:asciiTheme="minorHAnsi" w:hAnsiTheme="minorHAnsi" w:cstheme="minorHAnsi"/>
          <w:i/>
        </w:rPr>
        <w:t>Br J Surg</w:t>
      </w:r>
      <w:r w:rsidRPr="00C52452">
        <w:rPr>
          <w:rFonts w:asciiTheme="minorHAnsi" w:hAnsiTheme="minorHAnsi" w:cstheme="minorHAnsi"/>
        </w:rPr>
        <w:t xml:space="preserve"> 2020;107(1):73-86</w:t>
      </w:r>
    </w:p>
    <w:p w14:paraId="4A60486E" w14:textId="7239BBAC" w:rsidR="007D5C12"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102.</w:t>
      </w:r>
      <w:r w:rsidRPr="00C52452">
        <w:rPr>
          <w:rFonts w:asciiTheme="minorHAnsi" w:hAnsiTheme="minorHAnsi" w:cstheme="minorHAnsi"/>
        </w:rPr>
        <w:tab/>
      </w:r>
      <w:r w:rsidR="007D5C12" w:rsidRPr="00C52452">
        <w:rPr>
          <w:rFonts w:asciiTheme="minorHAnsi" w:hAnsiTheme="minorHAnsi" w:cstheme="minorHAnsi"/>
        </w:rPr>
        <w:t xml:space="preserve">Diverticulitis management: a snapshot collaborative audit study. DAMASCUS protocol 33.0. 28 Dec 2020. Available from: </w:t>
      </w:r>
      <w:r w:rsidR="007D5C12" w:rsidRPr="008171D0">
        <w:rPr>
          <w:rFonts w:asciiTheme="minorHAnsi" w:hAnsiTheme="minorHAnsi" w:cstheme="minorHAnsi"/>
        </w:rPr>
        <w:t>https://mcusercontent.com/99832f93daeaab6070e0f6946/files/9f1a3098-e318-4e46-8172-d4a209d2ca24/DAMASCUS_Protocol_V3.0_28_Sep_2020_.pdf</w:t>
      </w:r>
      <w:r w:rsidR="007D5C12" w:rsidRPr="00C52452">
        <w:rPr>
          <w:rFonts w:asciiTheme="minorHAnsi" w:hAnsiTheme="minorHAnsi" w:cstheme="minorHAnsi"/>
        </w:rPr>
        <w:t xml:space="preserve"> </w:t>
      </w:r>
      <w:r w:rsidR="00B637D9">
        <w:rPr>
          <w:rFonts w:asciiTheme="minorHAnsi" w:hAnsiTheme="minorHAnsi" w:cstheme="minorHAnsi"/>
        </w:rPr>
        <w:t>(</w:t>
      </w:r>
      <w:r w:rsidR="007D5C12" w:rsidRPr="00C52452">
        <w:rPr>
          <w:rFonts w:asciiTheme="minorHAnsi" w:hAnsiTheme="minorHAnsi" w:cstheme="minorHAnsi"/>
        </w:rPr>
        <w:t>accessed October 19, 2021</w:t>
      </w:r>
      <w:r w:rsidR="00B637D9">
        <w:rPr>
          <w:rFonts w:asciiTheme="minorHAnsi" w:hAnsiTheme="minorHAnsi" w:cstheme="minorHAnsi"/>
        </w:rPr>
        <w:t>)</w:t>
      </w:r>
    </w:p>
    <w:p w14:paraId="7C6B804A" w14:textId="4F75CC9D" w:rsidR="00B86E8C" w:rsidRPr="00A32E5C"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103.</w:t>
      </w:r>
      <w:r w:rsidRPr="00C52452">
        <w:rPr>
          <w:rFonts w:asciiTheme="minorHAnsi" w:hAnsiTheme="minorHAnsi" w:cstheme="minorHAnsi"/>
        </w:rPr>
        <w:tab/>
        <w:t>Fitzgibbons R</w:t>
      </w:r>
      <w:r w:rsidR="00454738" w:rsidRPr="00C52452">
        <w:rPr>
          <w:rFonts w:asciiTheme="minorHAnsi" w:hAnsiTheme="minorHAnsi" w:cstheme="minorHAnsi"/>
        </w:rPr>
        <w:t xml:space="preserve">J, </w:t>
      </w:r>
      <w:r w:rsidRPr="00C52452">
        <w:rPr>
          <w:rFonts w:asciiTheme="minorHAnsi" w:hAnsiTheme="minorHAnsi" w:cstheme="minorHAnsi"/>
        </w:rPr>
        <w:t xml:space="preserve">Giobbie-Hurder A, Gibbs JO, Dunlop DD, Reda DJ, McCarthy M, Jr., et al. Watchful waiting vs repair of inguinal hernia in minimally symptomatic men: a randomized clinical trial. </w:t>
      </w:r>
      <w:r w:rsidRPr="00A32E5C">
        <w:rPr>
          <w:rFonts w:asciiTheme="minorHAnsi" w:hAnsiTheme="minorHAnsi" w:cstheme="minorHAnsi"/>
          <w:i/>
        </w:rPr>
        <w:t>JAMA</w:t>
      </w:r>
      <w:r w:rsidRPr="00A32E5C">
        <w:rPr>
          <w:rFonts w:asciiTheme="minorHAnsi" w:hAnsiTheme="minorHAnsi" w:cstheme="minorHAnsi"/>
        </w:rPr>
        <w:t xml:space="preserve"> 2006;295(3):285-92</w:t>
      </w:r>
    </w:p>
    <w:p w14:paraId="43259EF4" w14:textId="54D16C33"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rPr>
        <w:t>104.</w:t>
      </w:r>
      <w:r w:rsidRPr="00404610">
        <w:rPr>
          <w:rFonts w:asciiTheme="minorHAnsi" w:hAnsiTheme="minorHAnsi" w:cstheme="minorHAnsi"/>
        </w:rPr>
        <w:tab/>
        <w:t xml:space="preserve">Fitzgibbons RJ, Ramanan B, Arya S, Turner SA, Li X, Gibbs JO, et al. </w:t>
      </w:r>
      <w:r w:rsidRPr="00C52452">
        <w:rPr>
          <w:rFonts w:asciiTheme="minorHAnsi" w:hAnsiTheme="minorHAnsi" w:cstheme="minorHAnsi"/>
        </w:rPr>
        <w:t xml:space="preserve">Long-term results of a randomized controlled trial of a nonoperative strategy (watchful waiting) for men with minimally symptomatic inguinal hernias. </w:t>
      </w:r>
      <w:r w:rsidRPr="00C52452">
        <w:rPr>
          <w:rFonts w:asciiTheme="minorHAnsi" w:hAnsiTheme="minorHAnsi" w:cstheme="minorHAnsi"/>
          <w:i/>
        </w:rPr>
        <w:t>Ann Surg</w:t>
      </w:r>
      <w:r w:rsidRPr="00C52452">
        <w:rPr>
          <w:rFonts w:asciiTheme="minorHAnsi" w:hAnsiTheme="minorHAnsi" w:cstheme="minorHAnsi"/>
        </w:rPr>
        <w:t xml:space="preserve"> 2013;258(3):508-15</w:t>
      </w:r>
    </w:p>
    <w:p w14:paraId="154FCB16" w14:textId="03F279DA"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105.</w:t>
      </w:r>
      <w:r w:rsidRPr="00C52452">
        <w:rPr>
          <w:rFonts w:asciiTheme="minorHAnsi" w:hAnsiTheme="minorHAnsi" w:cstheme="minorHAnsi"/>
        </w:rPr>
        <w:tab/>
        <w:t xml:space="preserve">Kokotovic D, Sjolander H, Gogenur I, Helgstrand F. Watchful waiting as a treatment strategy for patients with a ventral hernia appears to be safe. </w:t>
      </w:r>
      <w:r w:rsidRPr="00C52452">
        <w:rPr>
          <w:rFonts w:asciiTheme="minorHAnsi" w:hAnsiTheme="minorHAnsi" w:cstheme="minorHAnsi"/>
          <w:i/>
        </w:rPr>
        <w:t>Hernia</w:t>
      </w:r>
      <w:r w:rsidRPr="00C52452">
        <w:rPr>
          <w:rFonts w:asciiTheme="minorHAnsi" w:hAnsiTheme="minorHAnsi" w:cstheme="minorHAnsi"/>
        </w:rPr>
        <w:t xml:space="preserve"> 2016;20(2):281-7</w:t>
      </w:r>
    </w:p>
    <w:p w14:paraId="312ED9AB" w14:textId="3437A144"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106.</w:t>
      </w:r>
      <w:r w:rsidRPr="00C52452">
        <w:rPr>
          <w:rFonts w:asciiTheme="minorHAnsi" w:hAnsiTheme="minorHAnsi" w:cstheme="minorHAnsi"/>
        </w:rPr>
        <w:tab/>
        <w:t xml:space="preserve">Wolf LL, Ejiofor JI, Wang Y, Hunink MG, Losina E, Haider AH, et al. Management of Reducible Ventral Hernias: Clinical Outcomes and Cost-effectiveness of Repair at Diagnosis Versus Watchful Waiting. </w:t>
      </w:r>
      <w:r w:rsidRPr="00C52452">
        <w:rPr>
          <w:rFonts w:asciiTheme="minorHAnsi" w:hAnsiTheme="minorHAnsi" w:cstheme="minorHAnsi"/>
          <w:i/>
        </w:rPr>
        <w:t>Ann Surg</w:t>
      </w:r>
      <w:r w:rsidRPr="00C52452">
        <w:rPr>
          <w:rFonts w:asciiTheme="minorHAnsi" w:hAnsiTheme="minorHAnsi" w:cstheme="minorHAnsi"/>
        </w:rPr>
        <w:t xml:space="preserve"> 2019;269(2):358-66</w:t>
      </w:r>
    </w:p>
    <w:p w14:paraId="6D614451" w14:textId="7DCF4B2E"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107.</w:t>
      </w:r>
      <w:r w:rsidRPr="00C52452">
        <w:rPr>
          <w:rFonts w:asciiTheme="minorHAnsi" w:hAnsiTheme="minorHAnsi" w:cstheme="minorHAnsi"/>
        </w:rPr>
        <w:tab/>
        <w:t xml:space="preserve">Bellows CF, Robinson C, Fitzgibbons RJ, Webber LS, Berger DH. Watchful waiting for ventral hernias: a longitudinal study. </w:t>
      </w:r>
      <w:r w:rsidRPr="00C52452">
        <w:rPr>
          <w:rFonts w:asciiTheme="minorHAnsi" w:hAnsiTheme="minorHAnsi" w:cstheme="minorHAnsi"/>
          <w:i/>
        </w:rPr>
        <w:t>Am Surg</w:t>
      </w:r>
      <w:r w:rsidRPr="00C52452">
        <w:rPr>
          <w:rFonts w:asciiTheme="minorHAnsi" w:hAnsiTheme="minorHAnsi" w:cstheme="minorHAnsi"/>
        </w:rPr>
        <w:t xml:space="preserve"> 2014;80(3):245-52</w:t>
      </w:r>
    </w:p>
    <w:p w14:paraId="4786D767" w14:textId="3D8B365C"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lang w:val="it-IT"/>
        </w:rPr>
        <w:t>108.</w:t>
      </w:r>
      <w:r w:rsidRPr="00404610">
        <w:rPr>
          <w:rFonts w:asciiTheme="minorHAnsi" w:hAnsiTheme="minorHAnsi" w:cstheme="minorHAnsi"/>
          <w:lang w:val="it-IT"/>
        </w:rPr>
        <w:tab/>
        <w:t xml:space="preserve">Cirocchi R, Farinella E, Trastulli S, Desiderio J, Listorti C, Boselli C, et al. </w:t>
      </w:r>
      <w:r w:rsidRPr="00C52452">
        <w:rPr>
          <w:rFonts w:asciiTheme="minorHAnsi" w:hAnsiTheme="minorHAnsi" w:cstheme="minorHAnsi"/>
        </w:rPr>
        <w:t xml:space="preserve">Safety and efficacy of endoscopic colonic stenting as a bridge to surgery in the management of intestinal obstruction due to left colon and rectal cancer: a systematic review and meta-analysis. </w:t>
      </w:r>
      <w:r w:rsidRPr="00C52452">
        <w:rPr>
          <w:rFonts w:asciiTheme="minorHAnsi" w:hAnsiTheme="minorHAnsi" w:cstheme="minorHAnsi"/>
          <w:i/>
        </w:rPr>
        <w:t>Surg Oncol</w:t>
      </w:r>
      <w:r w:rsidRPr="00C52452">
        <w:rPr>
          <w:rFonts w:asciiTheme="minorHAnsi" w:hAnsiTheme="minorHAnsi" w:cstheme="minorHAnsi"/>
        </w:rPr>
        <w:t xml:space="preserve"> 2013;22(1):14-21</w:t>
      </w:r>
    </w:p>
    <w:p w14:paraId="1B026D8D" w14:textId="6431A791"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109.</w:t>
      </w:r>
      <w:r w:rsidRPr="00C52452">
        <w:rPr>
          <w:rFonts w:asciiTheme="minorHAnsi" w:hAnsiTheme="minorHAnsi" w:cstheme="minorHAnsi"/>
        </w:rPr>
        <w:tab/>
        <w:t xml:space="preserve">Bauer J, Keeley B, Krieger B, Deliz J, Wallace K, Kruse D, et al. Adhesive Small Bowel Obstruction: Early Operative versus Observational Management. </w:t>
      </w:r>
      <w:r w:rsidRPr="00C52452">
        <w:rPr>
          <w:rFonts w:asciiTheme="minorHAnsi" w:hAnsiTheme="minorHAnsi" w:cstheme="minorHAnsi"/>
          <w:i/>
        </w:rPr>
        <w:t>Am Surg</w:t>
      </w:r>
      <w:r w:rsidRPr="00C52452">
        <w:rPr>
          <w:rFonts w:asciiTheme="minorHAnsi" w:hAnsiTheme="minorHAnsi" w:cstheme="minorHAnsi"/>
        </w:rPr>
        <w:t xml:space="preserve"> 2015;81(6):614-20</w:t>
      </w:r>
    </w:p>
    <w:p w14:paraId="4731799D" w14:textId="5FF648A8"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110.</w:t>
      </w:r>
      <w:r w:rsidRPr="00C52452">
        <w:rPr>
          <w:rFonts w:asciiTheme="minorHAnsi" w:hAnsiTheme="minorHAnsi" w:cstheme="minorHAnsi"/>
        </w:rPr>
        <w:tab/>
        <w:t xml:space="preserve">Ten Broek RPG, Krielen P, Di Saverio S, Coccolini F, Biffl WL, Ansaloni L, et al. Bologna guidelines for diagnosis and management of adhesive small bowel obstruction (ASBO): 2017 update of the evidence-based guidelines from the world society of emergency surgery ASBO working group. </w:t>
      </w:r>
      <w:r w:rsidRPr="00C52452">
        <w:rPr>
          <w:rFonts w:asciiTheme="minorHAnsi" w:hAnsiTheme="minorHAnsi" w:cstheme="minorHAnsi"/>
          <w:i/>
        </w:rPr>
        <w:t>World J Emerg Surg</w:t>
      </w:r>
      <w:r w:rsidRPr="00C52452">
        <w:rPr>
          <w:rFonts w:asciiTheme="minorHAnsi" w:hAnsiTheme="minorHAnsi" w:cstheme="minorHAnsi"/>
        </w:rPr>
        <w:t xml:space="preserve"> 2018;13:24</w:t>
      </w:r>
    </w:p>
    <w:p w14:paraId="50134923" w14:textId="1704F2D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111.</w:t>
      </w:r>
      <w:r w:rsidRPr="00C52452">
        <w:rPr>
          <w:rFonts w:asciiTheme="minorHAnsi" w:hAnsiTheme="minorHAnsi" w:cstheme="minorHAnsi"/>
        </w:rPr>
        <w:tab/>
        <w:t xml:space="preserve">O'Caoimh R, Sezgin D, O'Donovan MR, Molloy DW, Clegg A, Rockwood K, et al. Prevalence of frailty in 62 countries across the world: a systematic review and meta-analysis of population-level studies. </w:t>
      </w:r>
      <w:r w:rsidRPr="00C52452">
        <w:rPr>
          <w:rFonts w:asciiTheme="minorHAnsi" w:hAnsiTheme="minorHAnsi" w:cstheme="minorHAnsi"/>
          <w:i/>
        </w:rPr>
        <w:t>Age Ageing</w:t>
      </w:r>
      <w:r w:rsidRPr="00C52452">
        <w:rPr>
          <w:rFonts w:asciiTheme="minorHAnsi" w:hAnsiTheme="minorHAnsi" w:cstheme="minorHAnsi"/>
        </w:rPr>
        <w:t xml:space="preserve"> 2021;50(1):96-104</w:t>
      </w:r>
    </w:p>
    <w:p w14:paraId="0EE99A09" w14:textId="520742F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112.</w:t>
      </w:r>
      <w:r w:rsidRPr="00C52452">
        <w:rPr>
          <w:rFonts w:asciiTheme="minorHAnsi" w:hAnsiTheme="minorHAnsi" w:cstheme="minorHAnsi"/>
        </w:rPr>
        <w:tab/>
        <w:t xml:space="preserve">Xue QL. The frailty syndrome: definition and natural history. </w:t>
      </w:r>
      <w:r w:rsidRPr="00C52452">
        <w:rPr>
          <w:rFonts w:asciiTheme="minorHAnsi" w:hAnsiTheme="minorHAnsi" w:cstheme="minorHAnsi"/>
          <w:i/>
        </w:rPr>
        <w:t>Clin Geriatr Med</w:t>
      </w:r>
      <w:r w:rsidRPr="00C52452">
        <w:rPr>
          <w:rFonts w:asciiTheme="minorHAnsi" w:hAnsiTheme="minorHAnsi" w:cstheme="minorHAnsi"/>
        </w:rPr>
        <w:t xml:space="preserve"> 2011;27(1):1-15</w:t>
      </w:r>
    </w:p>
    <w:p w14:paraId="32C70856" w14:textId="1CC61B87"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113.</w:t>
      </w:r>
      <w:r w:rsidRPr="00C52452">
        <w:rPr>
          <w:rFonts w:asciiTheme="minorHAnsi" w:hAnsiTheme="minorHAnsi" w:cstheme="minorHAnsi"/>
        </w:rPr>
        <w:tab/>
        <w:t xml:space="preserve">Rockwood K, Song X, MacKnight C, Bergman H, Hogan DB, McDowell I, et al. A global clinical measure of fitness and frailty in elderly people. </w:t>
      </w:r>
      <w:r w:rsidRPr="00C52452">
        <w:rPr>
          <w:rFonts w:asciiTheme="minorHAnsi" w:hAnsiTheme="minorHAnsi" w:cstheme="minorHAnsi"/>
          <w:i/>
        </w:rPr>
        <w:t>CMAJ</w:t>
      </w:r>
      <w:r w:rsidRPr="00C52452">
        <w:rPr>
          <w:rFonts w:asciiTheme="minorHAnsi" w:hAnsiTheme="minorHAnsi" w:cstheme="minorHAnsi"/>
        </w:rPr>
        <w:t xml:space="preserve"> 2005;173(5):489-95</w:t>
      </w:r>
    </w:p>
    <w:p w14:paraId="1897A682" w14:textId="6D6A600C"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114.</w:t>
      </w:r>
      <w:r w:rsidRPr="00C52452">
        <w:rPr>
          <w:rFonts w:asciiTheme="minorHAnsi" w:hAnsiTheme="minorHAnsi" w:cstheme="minorHAnsi"/>
        </w:rPr>
        <w:tab/>
        <w:t xml:space="preserve">Clegg A, Bates C, Young J, Ryan R, Nichols L, Ann Teale E, et al. Development and validation of an electronic frailty index using routine primary care electronic health record data. </w:t>
      </w:r>
      <w:r w:rsidRPr="00C52452">
        <w:rPr>
          <w:rFonts w:asciiTheme="minorHAnsi" w:hAnsiTheme="minorHAnsi" w:cstheme="minorHAnsi"/>
          <w:i/>
        </w:rPr>
        <w:t>Age Ageing</w:t>
      </w:r>
      <w:r w:rsidRPr="00C52452">
        <w:rPr>
          <w:rFonts w:asciiTheme="minorHAnsi" w:hAnsiTheme="minorHAnsi" w:cstheme="minorHAnsi"/>
        </w:rPr>
        <w:t xml:space="preserve"> 2016;45(3):353-60</w:t>
      </w:r>
    </w:p>
    <w:p w14:paraId="0CDB85D9" w14:textId="4183669E" w:rsidR="00B86E8C" w:rsidRPr="00C52452" w:rsidRDefault="00B86E8C" w:rsidP="00B86E8C">
      <w:pPr>
        <w:spacing w:line="360" w:lineRule="auto"/>
        <w:ind w:left="851" w:hanging="851"/>
        <w:rPr>
          <w:rFonts w:eastAsia="Calibri"/>
        </w:rPr>
      </w:pPr>
      <w:r w:rsidRPr="1D5F5D79">
        <w:rPr>
          <w:rFonts w:asciiTheme="minorHAnsi" w:hAnsiTheme="minorHAnsi" w:cstheme="minorBidi"/>
        </w:rPr>
        <w:t>115.</w:t>
      </w:r>
      <w:r>
        <w:tab/>
      </w:r>
      <w:r w:rsidR="00454738" w:rsidRPr="1D5F5D79">
        <w:rPr>
          <w:rFonts w:asciiTheme="minorHAnsi" w:hAnsiTheme="minorHAnsi" w:cstheme="minorBidi"/>
        </w:rPr>
        <w:t xml:space="preserve">National Emergency Laparotomy Audit (NELA) Project Team. Second patient report of the National emergency laparotomy audit. London, 2019. Available: </w:t>
      </w:r>
      <w:r w:rsidR="00454738" w:rsidRPr="008171D0">
        <w:rPr>
          <w:rFonts w:asciiTheme="minorHAnsi" w:hAnsiTheme="minorHAnsi" w:cstheme="minorBidi"/>
        </w:rPr>
        <w:t>www.nela.org.uk/reports</w:t>
      </w:r>
      <w:r w:rsidR="1D5F5D79" w:rsidRPr="1D5F5D79">
        <w:rPr>
          <w:rFonts w:eastAsia="Calibri"/>
        </w:rPr>
        <w:t xml:space="preserve"> (accessed 20 April 2022)</w:t>
      </w:r>
    </w:p>
    <w:p w14:paraId="5CAA8749" w14:textId="2B9CC462" w:rsidR="00B86E8C" w:rsidRPr="00C52452" w:rsidRDefault="00B86E8C" w:rsidP="00B86E8C">
      <w:pPr>
        <w:spacing w:line="360" w:lineRule="auto"/>
        <w:ind w:left="851" w:hanging="851"/>
        <w:rPr>
          <w:rFonts w:eastAsia="Calibri"/>
        </w:rPr>
      </w:pPr>
      <w:r w:rsidRPr="314AE508">
        <w:rPr>
          <w:rFonts w:asciiTheme="minorHAnsi" w:hAnsiTheme="minorHAnsi" w:cstheme="minorBidi"/>
        </w:rPr>
        <w:t>116.</w:t>
      </w:r>
      <w:r>
        <w:tab/>
      </w:r>
      <w:r w:rsidR="00454738" w:rsidRPr="314AE508">
        <w:rPr>
          <w:rFonts w:asciiTheme="minorHAnsi" w:hAnsiTheme="minorHAnsi" w:cstheme="minorBidi"/>
        </w:rPr>
        <w:t xml:space="preserve">National Emergency Laparotomy Audit (NELA) Project Team. Second patient report of the National emergency laparotomy audit. London, 2020. Available: </w:t>
      </w:r>
      <w:r w:rsidR="00454738" w:rsidRPr="008171D0">
        <w:rPr>
          <w:rFonts w:asciiTheme="minorHAnsi" w:hAnsiTheme="minorHAnsi" w:cstheme="minorBidi"/>
        </w:rPr>
        <w:t>www.nela.org.uk/reports</w:t>
      </w:r>
      <w:r w:rsidR="314AE508" w:rsidRPr="314AE508">
        <w:rPr>
          <w:rFonts w:eastAsia="Calibri"/>
        </w:rPr>
        <w:t xml:space="preserve"> (accessed 20 April 2022)</w:t>
      </w:r>
    </w:p>
    <w:p w14:paraId="1514D0DE" w14:textId="31A8855F"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117.</w:t>
      </w:r>
      <w:r w:rsidRPr="00C52452">
        <w:rPr>
          <w:rFonts w:asciiTheme="minorHAnsi" w:hAnsiTheme="minorHAnsi" w:cstheme="minorHAnsi"/>
        </w:rPr>
        <w:tab/>
        <w:t xml:space="preserve">Parmar KL, Law J, Carter B, Hewitt J, Boyle JM, Casey P, et al. Frailty in Older Patients Undergoing Emergency Laparotomy: Results From the UK Observational Emergency Laparotomy and Frailty (ELF) Study. </w:t>
      </w:r>
      <w:r w:rsidRPr="00C52452">
        <w:rPr>
          <w:rFonts w:asciiTheme="minorHAnsi" w:hAnsiTheme="minorHAnsi" w:cstheme="minorHAnsi"/>
          <w:i/>
        </w:rPr>
        <w:t>Ann Surg</w:t>
      </w:r>
      <w:r w:rsidRPr="00C52452">
        <w:rPr>
          <w:rFonts w:asciiTheme="minorHAnsi" w:hAnsiTheme="minorHAnsi" w:cstheme="minorHAnsi"/>
        </w:rPr>
        <w:t xml:space="preserve"> 2021;273(4):709-18</w:t>
      </w:r>
    </w:p>
    <w:p w14:paraId="5A9D83DA" w14:textId="5D9DFE1E"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118.</w:t>
      </w:r>
      <w:r w:rsidRPr="00C52452">
        <w:rPr>
          <w:rFonts w:asciiTheme="minorHAnsi" w:hAnsiTheme="minorHAnsi" w:cstheme="minorHAnsi"/>
        </w:rPr>
        <w:tab/>
      </w:r>
      <w:r w:rsidR="00454738" w:rsidRPr="00C52452">
        <w:rPr>
          <w:rFonts w:asciiTheme="minorHAnsi" w:hAnsiTheme="minorHAnsi" w:cstheme="minorHAnsi"/>
        </w:rPr>
        <w:t xml:space="preserve">Royal College of Surgeons of England. </w:t>
      </w:r>
      <w:r w:rsidR="00454738" w:rsidRPr="00C52452">
        <w:rPr>
          <w:rFonts w:asciiTheme="minorHAnsi" w:hAnsiTheme="minorHAnsi" w:cstheme="minorHAnsi"/>
          <w:i/>
        </w:rPr>
        <w:t>The High-Risk General Surgical Patient: Raising the Standard. Updated Recommendations on the Perioperative Care of the High-Risk General Surgical Patient.</w:t>
      </w:r>
      <w:r w:rsidR="00454738" w:rsidRPr="00C52452">
        <w:rPr>
          <w:rFonts w:asciiTheme="minorHAnsi" w:hAnsiTheme="minorHAnsi" w:cstheme="minorHAnsi"/>
        </w:rPr>
        <w:t xml:space="preserve"> London: Royal College of Surgeons of England; 2018. Available from </w:t>
      </w:r>
      <w:r w:rsidR="00454738" w:rsidRPr="008171D0">
        <w:rPr>
          <w:rFonts w:asciiTheme="minorHAnsi" w:hAnsiTheme="minorHAnsi" w:cstheme="minorHAnsi"/>
        </w:rPr>
        <w:t>https://www.rcseng.ac.uk/-/media/files/rcs/news-and-events/media-centre/2018-press-releases-documents/rcs-report-the-highrisk-general-surgical-patient--raising-the-standard--december-2018.pdf</w:t>
      </w:r>
      <w:r w:rsidR="00454738" w:rsidRPr="00C52452">
        <w:rPr>
          <w:rFonts w:asciiTheme="minorHAnsi" w:hAnsiTheme="minorHAnsi" w:cstheme="minorHAnsi"/>
        </w:rPr>
        <w:t xml:space="preserve"> </w:t>
      </w:r>
      <w:r w:rsidR="00B637D9">
        <w:rPr>
          <w:rFonts w:asciiTheme="minorHAnsi" w:hAnsiTheme="minorHAnsi" w:cstheme="minorHAnsi"/>
        </w:rPr>
        <w:t>(</w:t>
      </w:r>
      <w:r w:rsidR="00454738" w:rsidRPr="00C52452">
        <w:rPr>
          <w:rFonts w:asciiTheme="minorHAnsi" w:hAnsiTheme="minorHAnsi" w:cstheme="minorHAnsi"/>
        </w:rPr>
        <w:t>accessed October 18, 2021</w:t>
      </w:r>
      <w:r w:rsidR="00B637D9">
        <w:rPr>
          <w:rFonts w:asciiTheme="minorHAnsi" w:hAnsiTheme="minorHAnsi" w:cstheme="minorHAnsi"/>
        </w:rPr>
        <w:t>)</w:t>
      </w:r>
    </w:p>
    <w:p w14:paraId="67D82CAB" w14:textId="3B11C023" w:rsidR="00B86E8C" w:rsidRPr="00C52452" w:rsidRDefault="00B86E8C" w:rsidP="00B86E8C">
      <w:pPr>
        <w:spacing w:line="360" w:lineRule="auto"/>
        <w:ind w:left="851" w:hanging="851"/>
        <w:rPr>
          <w:rFonts w:asciiTheme="minorHAnsi" w:hAnsiTheme="minorHAnsi" w:cstheme="minorBidi"/>
        </w:rPr>
      </w:pPr>
      <w:r w:rsidRPr="314AE508">
        <w:rPr>
          <w:rFonts w:asciiTheme="minorHAnsi" w:hAnsiTheme="minorHAnsi" w:cstheme="minorBidi"/>
        </w:rPr>
        <w:t>119.</w:t>
      </w:r>
      <w:r>
        <w:tab/>
      </w:r>
      <w:r w:rsidR="00454738" w:rsidRPr="314AE508">
        <w:rPr>
          <w:rFonts w:asciiTheme="minorHAnsi" w:hAnsiTheme="minorHAnsi" w:cstheme="minorBidi"/>
        </w:rPr>
        <w:t xml:space="preserve">Centre for Perioperative care. </w:t>
      </w:r>
      <w:r w:rsidR="00454738" w:rsidRPr="314AE508">
        <w:rPr>
          <w:rFonts w:asciiTheme="minorHAnsi" w:hAnsiTheme="minorHAnsi" w:cstheme="minorBidi"/>
          <w:i/>
        </w:rPr>
        <w:t>Guideline for Perioperative Care for People Living with Frailty Undergoing Elective and Emergency Surgery.</w:t>
      </w:r>
      <w:r w:rsidR="00454738" w:rsidRPr="314AE508">
        <w:rPr>
          <w:rFonts w:asciiTheme="minorHAnsi" w:hAnsiTheme="minorHAnsi" w:cstheme="minorBidi"/>
        </w:rPr>
        <w:t xml:space="preserve"> </w:t>
      </w:r>
      <w:r w:rsidR="00AC6365" w:rsidRPr="314AE508">
        <w:rPr>
          <w:rFonts w:asciiTheme="minorHAnsi" w:hAnsiTheme="minorHAnsi" w:cstheme="minorBidi"/>
        </w:rPr>
        <w:t xml:space="preserve">London: </w:t>
      </w:r>
      <w:r w:rsidR="00454738" w:rsidRPr="314AE508">
        <w:rPr>
          <w:rFonts w:asciiTheme="minorHAnsi" w:hAnsiTheme="minorHAnsi" w:cstheme="minorBidi"/>
        </w:rPr>
        <w:t>Centre for Perioperative care</w:t>
      </w:r>
      <w:r w:rsidR="00AC6365" w:rsidRPr="314AE508">
        <w:rPr>
          <w:rFonts w:asciiTheme="minorHAnsi" w:hAnsiTheme="minorHAnsi" w:cstheme="minorBidi"/>
        </w:rPr>
        <w:t>;</w:t>
      </w:r>
      <w:r w:rsidR="00454738" w:rsidRPr="314AE508">
        <w:rPr>
          <w:rFonts w:asciiTheme="minorHAnsi" w:hAnsiTheme="minorHAnsi" w:cstheme="minorBidi"/>
        </w:rPr>
        <w:t xml:space="preserve"> 2021. Available from </w:t>
      </w:r>
      <w:r w:rsidR="00AC6365" w:rsidRPr="008171D0">
        <w:rPr>
          <w:rFonts w:asciiTheme="minorHAnsi" w:hAnsiTheme="minorHAnsi" w:cstheme="minorBidi"/>
        </w:rPr>
        <w:t>https://www.bgs.org.uk/sites/default/files/content/attachment/2021-09-28/Guideline%20for%20Perioperative%20Care%20for%20People%20Living%20with%20Frailty%20Undergoing%20Elective%20and%20Emergency%20Surgery.pdf</w:t>
      </w:r>
      <w:r w:rsidR="00454738" w:rsidRPr="314AE508">
        <w:rPr>
          <w:rFonts w:asciiTheme="minorHAnsi" w:hAnsiTheme="minorHAnsi" w:cstheme="minorBidi"/>
        </w:rPr>
        <w:t xml:space="preserve"> </w:t>
      </w:r>
      <w:r w:rsidR="00B637D9">
        <w:rPr>
          <w:rFonts w:asciiTheme="minorHAnsi" w:hAnsiTheme="minorHAnsi" w:cstheme="minorBidi"/>
        </w:rPr>
        <w:t>(</w:t>
      </w:r>
      <w:r w:rsidR="00454738" w:rsidRPr="314AE508">
        <w:rPr>
          <w:rFonts w:asciiTheme="minorHAnsi" w:hAnsiTheme="minorHAnsi" w:cstheme="minorBidi"/>
        </w:rPr>
        <w:t>accessed October 6</w:t>
      </w:r>
      <w:r w:rsidR="00454738" w:rsidRPr="314AE508">
        <w:rPr>
          <w:rFonts w:asciiTheme="minorHAnsi" w:hAnsiTheme="minorHAnsi" w:cstheme="minorBidi"/>
          <w:vertAlign w:val="superscript"/>
        </w:rPr>
        <w:t>th</w:t>
      </w:r>
      <w:r w:rsidR="00454738" w:rsidRPr="314AE508">
        <w:rPr>
          <w:rFonts w:asciiTheme="minorHAnsi" w:hAnsiTheme="minorHAnsi" w:cstheme="minorBidi"/>
        </w:rPr>
        <w:t>, 2021]</w:t>
      </w:r>
    </w:p>
    <w:p w14:paraId="6B367A3B" w14:textId="72FA004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120.</w:t>
      </w:r>
      <w:r w:rsidRPr="00C52452">
        <w:rPr>
          <w:rFonts w:asciiTheme="minorHAnsi" w:hAnsiTheme="minorHAnsi" w:cstheme="minorHAnsi"/>
        </w:rPr>
        <w:tab/>
        <w:t xml:space="preserve">Keele L, Small D. Instrumental variables: Don't throw the baby out with the bathwater. </w:t>
      </w:r>
      <w:r w:rsidRPr="00C52452">
        <w:rPr>
          <w:rFonts w:asciiTheme="minorHAnsi" w:hAnsiTheme="minorHAnsi" w:cstheme="minorHAnsi"/>
          <w:i/>
        </w:rPr>
        <w:t>Health Serv Res</w:t>
      </w:r>
      <w:r w:rsidRPr="00C52452">
        <w:rPr>
          <w:rFonts w:asciiTheme="minorHAnsi" w:hAnsiTheme="minorHAnsi" w:cstheme="minorHAnsi"/>
        </w:rPr>
        <w:t xml:space="preserve"> 2019;54(3):543-6</w:t>
      </w:r>
    </w:p>
    <w:p w14:paraId="23FC08AB" w14:textId="5088476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121.</w:t>
      </w:r>
      <w:r w:rsidRPr="00C52452">
        <w:rPr>
          <w:rFonts w:asciiTheme="minorHAnsi" w:hAnsiTheme="minorHAnsi" w:cstheme="minorHAnsi"/>
        </w:rPr>
        <w:tab/>
        <w:t xml:space="preserve">Poulton T, Murray D, National Emergency Laparotomy Audit project. Pre-optimisation of patients undergoing emergency laparotomy: a review of best practice. </w:t>
      </w:r>
      <w:r w:rsidRPr="00C52452">
        <w:rPr>
          <w:rFonts w:asciiTheme="minorHAnsi" w:hAnsiTheme="minorHAnsi" w:cstheme="minorHAnsi"/>
          <w:i/>
        </w:rPr>
        <w:t>Anaesthesia</w:t>
      </w:r>
      <w:r w:rsidRPr="00C52452">
        <w:rPr>
          <w:rFonts w:asciiTheme="minorHAnsi" w:hAnsiTheme="minorHAnsi" w:cstheme="minorHAnsi"/>
        </w:rPr>
        <w:t xml:space="preserve"> 2019;74 Suppl 1:100-7</w:t>
      </w:r>
    </w:p>
    <w:p w14:paraId="16E55CDE" w14:textId="18C4EE3F"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122.</w:t>
      </w:r>
      <w:r w:rsidRPr="00C52452">
        <w:rPr>
          <w:rFonts w:asciiTheme="minorHAnsi" w:hAnsiTheme="minorHAnsi" w:cstheme="minorHAnsi"/>
        </w:rPr>
        <w:tab/>
        <w:t xml:space="preserve">Stokes J, Guthrie B, Mercer SW, Rice N, Sutton M. Multimorbidity combinations, costs of hospital care and potentially preventable emergency admissions in England: A cohort study. </w:t>
      </w:r>
      <w:r w:rsidRPr="00C52452">
        <w:rPr>
          <w:rFonts w:asciiTheme="minorHAnsi" w:hAnsiTheme="minorHAnsi" w:cstheme="minorHAnsi"/>
          <w:i/>
        </w:rPr>
        <w:t>PLoS Med</w:t>
      </w:r>
      <w:r w:rsidRPr="00C52452">
        <w:rPr>
          <w:rFonts w:asciiTheme="minorHAnsi" w:hAnsiTheme="minorHAnsi" w:cstheme="minorHAnsi"/>
        </w:rPr>
        <w:t xml:space="preserve"> 2021;18(1):e1003514</w:t>
      </w:r>
    </w:p>
    <w:p w14:paraId="782874D5" w14:textId="3C0A52B0"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123.</w:t>
      </w:r>
      <w:r w:rsidRPr="00C52452">
        <w:rPr>
          <w:rFonts w:asciiTheme="minorHAnsi" w:hAnsiTheme="minorHAnsi" w:cstheme="minorHAnsi"/>
        </w:rPr>
        <w:tab/>
      </w:r>
      <w:r w:rsidR="00AC6365" w:rsidRPr="00C52452">
        <w:rPr>
          <w:rFonts w:asciiTheme="minorHAnsi" w:hAnsiTheme="minorHAnsi" w:cstheme="minorHAnsi"/>
        </w:rPr>
        <w:t>National Institute for Health Research</w:t>
      </w:r>
      <w:r w:rsidRPr="00C52452">
        <w:rPr>
          <w:rFonts w:asciiTheme="minorHAnsi" w:hAnsiTheme="minorHAnsi" w:cstheme="minorHAnsi"/>
        </w:rPr>
        <w:t xml:space="preserve">. NIHR Strategic Framework for Multiple Long-Term Conditions (Multimorbidity) MLTC-M Research 2021. Available from: </w:t>
      </w:r>
      <w:r w:rsidR="00AC6365" w:rsidRPr="008171D0">
        <w:rPr>
          <w:rFonts w:asciiTheme="minorHAnsi" w:hAnsiTheme="minorHAnsi" w:cstheme="minorHAnsi"/>
        </w:rPr>
        <w:t>https://www.nihr.ac.uk/documents/research-on-multiple-long-term-conditions-multimorbidity-mltc-m/24639</w:t>
      </w:r>
      <w:r w:rsidR="00AC6365" w:rsidRPr="00C52452">
        <w:rPr>
          <w:rFonts w:asciiTheme="minorHAnsi" w:hAnsiTheme="minorHAnsi" w:cstheme="minorHAnsi"/>
        </w:rPr>
        <w:t xml:space="preserve"> [Accessed Oct 27, 2021]</w:t>
      </w:r>
    </w:p>
    <w:p w14:paraId="7726B8CC" w14:textId="1D9ECB6E" w:rsidR="00AC6365" w:rsidRPr="00C52452" w:rsidRDefault="00B86E8C" w:rsidP="00B86E8C">
      <w:pPr>
        <w:spacing w:line="360" w:lineRule="auto"/>
        <w:ind w:left="851" w:hanging="851"/>
        <w:rPr>
          <w:rFonts w:asciiTheme="minorHAnsi" w:hAnsiTheme="minorHAnsi" w:cstheme="minorBidi"/>
        </w:rPr>
      </w:pPr>
      <w:r w:rsidRPr="6C0086E3">
        <w:rPr>
          <w:rFonts w:asciiTheme="minorHAnsi" w:hAnsiTheme="minorHAnsi" w:cstheme="minorBidi"/>
        </w:rPr>
        <w:t>124.</w:t>
      </w:r>
      <w:r>
        <w:tab/>
      </w:r>
      <w:r w:rsidRPr="6C0086E3">
        <w:rPr>
          <w:rFonts w:asciiTheme="minorHAnsi" w:hAnsiTheme="minorHAnsi" w:cstheme="minorBidi"/>
        </w:rPr>
        <w:t>Fogarty CB</w:t>
      </w:r>
      <w:r w:rsidR="00AC6365" w:rsidRPr="6C0086E3">
        <w:rPr>
          <w:rFonts w:asciiTheme="minorHAnsi" w:hAnsiTheme="minorHAnsi" w:cstheme="minorBidi"/>
        </w:rPr>
        <w:t xml:space="preserve">, Lee K, Kelz RR, Keele L. </w:t>
      </w:r>
      <w:r w:rsidR="000602A8" w:rsidRPr="6C0086E3">
        <w:rPr>
          <w:rFonts w:asciiTheme="minorHAnsi" w:hAnsiTheme="minorHAnsi" w:cstheme="minorBidi"/>
        </w:rPr>
        <w:t>Biased encouragements and heterogeneous effects in an instrumental variable study of emergency general surgical outcomes</w:t>
      </w:r>
      <w:r w:rsidRPr="6C0086E3">
        <w:rPr>
          <w:rFonts w:asciiTheme="minorHAnsi" w:hAnsiTheme="minorHAnsi" w:cstheme="minorBidi"/>
        </w:rPr>
        <w:t xml:space="preserve">. </w:t>
      </w:r>
      <w:r w:rsidR="180E4C15" w:rsidRPr="6C0086E3">
        <w:rPr>
          <w:rFonts w:asciiTheme="minorHAnsi" w:hAnsiTheme="minorHAnsi" w:cstheme="minorBidi"/>
          <w:i/>
          <w:iCs/>
        </w:rPr>
        <w:t>J</w:t>
      </w:r>
      <w:r w:rsidR="7E1D6AE7" w:rsidRPr="6C0086E3">
        <w:rPr>
          <w:rFonts w:asciiTheme="minorHAnsi" w:hAnsiTheme="minorHAnsi" w:cstheme="minorBidi"/>
          <w:i/>
          <w:iCs/>
        </w:rPr>
        <w:t>ournal of the American Statistical Association</w:t>
      </w:r>
      <w:r w:rsidR="7E1D6AE7" w:rsidRPr="6C0086E3">
        <w:rPr>
          <w:rFonts w:asciiTheme="minorHAnsi" w:hAnsiTheme="minorHAnsi" w:cstheme="minorBidi"/>
        </w:rPr>
        <w:t xml:space="preserve"> 2021;</w:t>
      </w:r>
      <w:r w:rsidR="6C0086E3" w:rsidRPr="6C0086E3">
        <w:rPr>
          <w:rFonts w:asciiTheme="minorHAnsi" w:hAnsiTheme="minorHAnsi" w:cstheme="minorBidi"/>
        </w:rPr>
        <w:t>116</w:t>
      </w:r>
      <w:r w:rsidR="1965BCFF" w:rsidRPr="1965BCFF">
        <w:rPr>
          <w:rFonts w:asciiTheme="minorHAnsi" w:hAnsiTheme="minorHAnsi" w:cstheme="minorBidi"/>
        </w:rPr>
        <w:t>(</w:t>
      </w:r>
      <w:r w:rsidR="6C0086E3" w:rsidRPr="6C0086E3">
        <w:rPr>
          <w:rFonts w:asciiTheme="minorHAnsi" w:hAnsiTheme="minorHAnsi" w:cstheme="minorBidi"/>
        </w:rPr>
        <w:t>536</w:t>
      </w:r>
      <w:r w:rsidR="1965BCFF" w:rsidRPr="1965BCFF">
        <w:rPr>
          <w:rFonts w:asciiTheme="minorHAnsi" w:hAnsiTheme="minorHAnsi" w:cstheme="minorBidi"/>
        </w:rPr>
        <w:t>):</w:t>
      </w:r>
      <w:r w:rsidR="6C0086E3" w:rsidRPr="6C0086E3">
        <w:rPr>
          <w:rFonts w:asciiTheme="minorHAnsi" w:hAnsiTheme="minorHAnsi" w:cstheme="minorBidi"/>
        </w:rPr>
        <w:t>1625-</w:t>
      </w:r>
      <w:r w:rsidR="7F30CE30" w:rsidRPr="1965BCFF">
        <w:rPr>
          <w:rFonts w:asciiTheme="minorHAnsi" w:hAnsiTheme="minorHAnsi" w:cstheme="minorBidi"/>
        </w:rPr>
        <w:t>36</w:t>
      </w:r>
      <w:r w:rsidR="180E4C15" w:rsidRPr="6C0086E3">
        <w:rPr>
          <w:rFonts w:asciiTheme="minorHAnsi" w:hAnsiTheme="minorHAnsi" w:cstheme="minorBidi"/>
        </w:rPr>
        <w:t xml:space="preserve"> </w:t>
      </w:r>
      <w:r w:rsidR="460AC818" w:rsidRPr="008171D0">
        <w:rPr>
          <w:rFonts w:asciiTheme="minorHAnsi" w:hAnsiTheme="minorHAnsi" w:cstheme="minorBidi"/>
        </w:rPr>
        <w:t>https://doi.org/10.1080/01621459.2020.1863220</w:t>
      </w:r>
    </w:p>
    <w:p w14:paraId="62AD07B1" w14:textId="62DA40EB"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125.</w:t>
      </w:r>
      <w:r w:rsidRPr="00C52452">
        <w:rPr>
          <w:rFonts w:asciiTheme="minorHAnsi" w:hAnsiTheme="minorHAnsi" w:cstheme="minorHAnsi"/>
        </w:rPr>
        <w:tab/>
      </w:r>
      <w:r w:rsidR="000641B3" w:rsidRPr="00C52452">
        <w:rPr>
          <w:rFonts w:asciiTheme="minorHAnsi" w:hAnsiTheme="minorHAnsi" w:cstheme="minorHAnsi"/>
        </w:rPr>
        <w:t xml:space="preserve">American College of Surgeons. Cholecystectomy: Surgical Removal of the Gallbladder. Available from: </w:t>
      </w:r>
      <w:r w:rsidR="000641B3" w:rsidRPr="008171D0">
        <w:rPr>
          <w:rFonts w:asciiTheme="minorHAnsi" w:hAnsiTheme="minorHAnsi" w:cstheme="minorHAnsi"/>
        </w:rPr>
        <w:t>https://www.facs.org/~/media/files/education/patient ed/cholesys.ashx</w:t>
      </w:r>
      <w:r w:rsidR="000641B3" w:rsidRPr="00C52452">
        <w:rPr>
          <w:rFonts w:asciiTheme="minorHAnsi" w:hAnsiTheme="minorHAnsi" w:cstheme="minorHAnsi"/>
        </w:rPr>
        <w:t xml:space="preserve">  [Accessed 10 Sep, 2021]</w:t>
      </w:r>
    </w:p>
    <w:p w14:paraId="230CED51" w14:textId="201170AA"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rPr>
        <w:t>126.</w:t>
      </w:r>
      <w:r w:rsidRPr="00404610">
        <w:rPr>
          <w:rFonts w:asciiTheme="minorHAnsi" w:hAnsiTheme="minorHAnsi" w:cstheme="minorHAnsi"/>
        </w:rPr>
        <w:tab/>
        <w:t xml:space="preserve">Silva GL, de Moura EG, Bernardo WM, Leite de Castro V, Morais C, Baba ER, et al. </w:t>
      </w:r>
      <w:r w:rsidRPr="00C52452">
        <w:rPr>
          <w:rFonts w:asciiTheme="minorHAnsi" w:hAnsiTheme="minorHAnsi" w:cstheme="minorHAnsi"/>
        </w:rPr>
        <w:t xml:space="preserve">Endoscopic versus surgical resection for early colorectal cancer-a systematic review and meta-analysis. </w:t>
      </w:r>
      <w:r w:rsidRPr="00C52452">
        <w:rPr>
          <w:rFonts w:asciiTheme="minorHAnsi" w:hAnsiTheme="minorHAnsi" w:cstheme="minorHAnsi"/>
          <w:i/>
        </w:rPr>
        <w:t>J Gastrointest Oncol</w:t>
      </w:r>
      <w:r w:rsidRPr="00C52452">
        <w:rPr>
          <w:rFonts w:asciiTheme="minorHAnsi" w:hAnsiTheme="minorHAnsi" w:cstheme="minorHAnsi"/>
        </w:rPr>
        <w:t xml:space="preserve"> 2016;7(3):326-35</w:t>
      </w:r>
    </w:p>
    <w:p w14:paraId="41F8F200" w14:textId="65342AE9" w:rsidR="00B86E8C" w:rsidRPr="00404610"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127.</w:t>
      </w:r>
      <w:r w:rsidRPr="00C52452">
        <w:rPr>
          <w:rFonts w:asciiTheme="minorHAnsi" w:hAnsiTheme="minorHAnsi" w:cstheme="minorHAnsi"/>
        </w:rPr>
        <w:tab/>
        <w:t xml:space="preserve">Heah SM, Eu KW, Ho YH, Leong AF, Seow-Choen F. Hartmann's procedure vs. abdominoperineal resection for palliation of advanced low rectal cancer. </w:t>
      </w:r>
      <w:r w:rsidRPr="00404610">
        <w:rPr>
          <w:rFonts w:asciiTheme="minorHAnsi" w:hAnsiTheme="minorHAnsi" w:cstheme="minorHAnsi"/>
          <w:i/>
        </w:rPr>
        <w:t>Dis Colon Rectum</w:t>
      </w:r>
      <w:r w:rsidRPr="00404610">
        <w:rPr>
          <w:rFonts w:asciiTheme="minorHAnsi" w:hAnsiTheme="minorHAnsi" w:cstheme="minorHAnsi"/>
        </w:rPr>
        <w:t xml:space="preserve"> 1997;40(11):1313-7</w:t>
      </w:r>
    </w:p>
    <w:p w14:paraId="0668BEF9" w14:textId="4600113D" w:rsidR="00B86E8C" w:rsidRPr="00C52452" w:rsidRDefault="00B86E8C" w:rsidP="00B86E8C">
      <w:pPr>
        <w:spacing w:line="360" w:lineRule="auto"/>
        <w:ind w:left="851" w:hanging="851"/>
        <w:rPr>
          <w:rFonts w:asciiTheme="minorHAnsi" w:hAnsiTheme="minorHAnsi" w:cstheme="minorHAnsi"/>
        </w:rPr>
      </w:pPr>
      <w:r w:rsidRPr="00404610">
        <w:rPr>
          <w:rFonts w:asciiTheme="minorHAnsi" w:hAnsiTheme="minorHAnsi" w:cstheme="minorHAnsi"/>
        </w:rPr>
        <w:t>128.</w:t>
      </w:r>
      <w:r w:rsidRPr="00404610">
        <w:rPr>
          <w:rFonts w:asciiTheme="minorHAnsi" w:hAnsiTheme="minorHAnsi" w:cstheme="minorHAnsi"/>
        </w:rPr>
        <w:tab/>
        <w:t xml:space="preserve">Teramoto A, Aoyama N, Ebisutani C, Matsumoto T, Machida H, Yoshida S, et al. </w:t>
      </w:r>
      <w:r w:rsidRPr="00C52452">
        <w:rPr>
          <w:rFonts w:asciiTheme="minorHAnsi" w:hAnsiTheme="minorHAnsi" w:cstheme="minorHAnsi"/>
        </w:rPr>
        <w:t xml:space="preserve">Clinical importance of cold polypectomy during the insertion phase in the left side of the colon and rectum: a multicenter randomized controlled trial (PRESECT study). </w:t>
      </w:r>
      <w:r w:rsidRPr="00C52452">
        <w:rPr>
          <w:rFonts w:asciiTheme="minorHAnsi" w:hAnsiTheme="minorHAnsi" w:cstheme="minorHAnsi"/>
          <w:i/>
        </w:rPr>
        <w:t>Gastrointest Endosc</w:t>
      </w:r>
      <w:r w:rsidRPr="00C52452">
        <w:rPr>
          <w:rFonts w:asciiTheme="minorHAnsi" w:hAnsiTheme="minorHAnsi" w:cstheme="minorHAnsi"/>
        </w:rPr>
        <w:t xml:space="preserve"> 2020;91(4):917-24</w:t>
      </w:r>
    </w:p>
    <w:p w14:paraId="7B73092E" w14:textId="40C9974E"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129.</w:t>
      </w:r>
      <w:r w:rsidRPr="00C52452">
        <w:rPr>
          <w:rFonts w:asciiTheme="minorHAnsi" w:hAnsiTheme="minorHAnsi" w:cstheme="minorHAnsi"/>
        </w:rPr>
        <w:tab/>
        <w:t xml:space="preserve">Wu CC, Chueh SC, Tsai YC. Is contralateral exploration justified in endoscopic total extraperitoneal repair of clinical unilateral groin hernias - A Prospective cohort study. </w:t>
      </w:r>
      <w:r w:rsidRPr="00C52452">
        <w:rPr>
          <w:rFonts w:asciiTheme="minorHAnsi" w:hAnsiTheme="minorHAnsi" w:cstheme="minorHAnsi"/>
          <w:i/>
        </w:rPr>
        <w:t>Int J Surg</w:t>
      </w:r>
      <w:r w:rsidRPr="00C52452">
        <w:rPr>
          <w:rFonts w:asciiTheme="minorHAnsi" w:hAnsiTheme="minorHAnsi" w:cstheme="minorHAnsi"/>
        </w:rPr>
        <w:t xml:space="preserve"> 2016;36(Pt A):206-11</w:t>
      </w:r>
    </w:p>
    <w:p w14:paraId="073428CB" w14:textId="2337BBF6"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130.</w:t>
      </w:r>
      <w:r w:rsidRPr="00C52452">
        <w:rPr>
          <w:rFonts w:asciiTheme="minorHAnsi" w:hAnsiTheme="minorHAnsi" w:cstheme="minorHAnsi"/>
        </w:rPr>
        <w:tab/>
        <w:t xml:space="preserve">Wilson M. Urinary catheterisation in the community: Exploring challenges and solutions. </w:t>
      </w:r>
      <w:r w:rsidRPr="00C52452">
        <w:rPr>
          <w:rFonts w:asciiTheme="minorHAnsi" w:hAnsiTheme="minorHAnsi" w:cstheme="minorHAnsi"/>
          <w:i/>
        </w:rPr>
        <w:t>Br J Community Nurs</w:t>
      </w:r>
      <w:r w:rsidRPr="00C52452">
        <w:rPr>
          <w:rFonts w:asciiTheme="minorHAnsi" w:hAnsiTheme="minorHAnsi" w:cstheme="minorHAnsi"/>
        </w:rPr>
        <w:t xml:space="preserve"> 2016;21(10):492-6</w:t>
      </w:r>
    </w:p>
    <w:p w14:paraId="770DA99E" w14:textId="5E747D9D"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131.</w:t>
      </w:r>
      <w:r w:rsidRPr="00C52452">
        <w:rPr>
          <w:rFonts w:asciiTheme="minorHAnsi" w:hAnsiTheme="minorHAnsi" w:cstheme="minorHAnsi"/>
        </w:rPr>
        <w:tab/>
        <w:t xml:space="preserve">Sallinen V, Di Saverio S, Haukijarvi E, Juusela R, Wikstrom H, Koivukangas V, et al. Laparoscopic versus open adhesiolysis for adhesive small bowel obstruction (LASSO): an international, multicentre, randomised, open-label trial. </w:t>
      </w:r>
      <w:r w:rsidRPr="00C52452">
        <w:rPr>
          <w:rFonts w:asciiTheme="minorHAnsi" w:hAnsiTheme="minorHAnsi" w:cstheme="minorHAnsi"/>
          <w:i/>
        </w:rPr>
        <w:t>Lancet Gastroenterol Hepatol</w:t>
      </w:r>
      <w:r w:rsidRPr="00C52452">
        <w:rPr>
          <w:rFonts w:asciiTheme="minorHAnsi" w:hAnsiTheme="minorHAnsi" w:cstheme="minorHAnsi"/>
        </w:rPr>
        <w:t xml:space="preserve"> 2019;4(4):278-86</w:t>
      </w:r>
    </w:p>
    <w:p w14:paraId="6231033D" w14:textId="7AE4DDCA" w:rsidR="00B86E8C" w:rsidRPr="00C52452" w:rsidRDefault="00B86E8C" w:rsidP="00B86E8C">
      <w:pPr>
        <w:spacing w:line="360" w:lineRule="auto"/>
        <w:ind w:left="851" w:hanging="851"/>
        <w:rPr>
          <w:rFonts w:asciiTheme="minorHAnsi" w:hAnsiTheme="minorHAnsi" w:cstheme="minorHAnsi"/>
        </w:rPr>
      </w:pPr>
      <w:r w:rsidRPr="00C52452">
        <w:rPr>
          <w:rFonts w:asciiTheme="minorHAnsi" w:hAnsiTheme="minorHAnsi" w:cstheme="minorHAnsi"/>
        </w:rPr>
        <w:t>132.</w:t>
      </w:r>
      <w:r w:rsidRPr="00C52452">
        <w:rPr>
          <w:rFonts w:asciiTheme="minorHAnsi" w:hAnsiTheme="minorHAnsi" w:cstheme="minorHAnsi"/>
        </w:rPr>
        <w:tab/>
        <w:t xml:space="preserve">Curtis LA, Burns, A. </w:t>
      </w:r>
      <w:r w:rsidRPr="00C52452">
        <w:rPr>
          <w:rFonts w:asciiTheme="minorHAnsi" w:hAnsiTheme="minorHAnsi" w:cstheme="minorHAnsi"/>
          <w:i/>
        </w:rPr>
        <w:t>Unit Costs of Health and Social Care 2019</w:t>
      </w:r>
      <w:r w:rsidR="000641B3" w:rsidRPr="00C52452">
        <w:rPr>
          <w:rFonts w:asciiTheme="minorHAnsi" w:hAnsiTheme="minorHAnsi" w:cstheme="minorHAnsi"/>
        </w:rPr>
        <w:t xml:space="preserve">. </w:t>
      </w:r>
      <w:r w:rsidRPr="00C52452">
        <w:rPr>
          <w:rFonts w:asciiTheme="minorHAnsi" w:hAnsiTheme="minorHAnsi" w:cstheme="minorHAnsi"/>
        </w:rPr>
        <w:t>Canterbury:</w:t>
      </w:r>
      <w:r w:rsidR="000641B3" w:rsidRPr="00C52452">
        <w:t xml:space="preserve"> </w:t>
      </w:r>
      <w:r w:rsidR="000641B3" w:rsidRPr="00C52452">
        <w:rPr>
          <w:rFonts w:asciiTheme="minorHAnsi" w:hAnsiTheme="minorHAnsi" w:cstheme="minorHAnsi"/>
        </w:rPr>
        <w:t>Personal Social Services Research Unit, University of Kent; 2019.</w:t>
      </w:r>
    </w:p>
    <w:p w14:paraId="0D562A48" w14:textId="0F962BDF" w:rsidR="00B86E8C" w:rsidRDefault="00B86E8C" w:rsidP="00B86E8C">
      <w:pPr>
        <w:spacing w:line="360" w:lineRule="auto"/>
        <w:ind w:left="851" w:hanging="851"/>
        <w:rPr>
          <w:rFonts w:asciiTheme="minorHAnsi" w:hAnsiTheme="minorHAnsi" w:cstheme="minorBidi"/>
        </w:rPr>
      </w:pPr>
      <w:r w:rsidRPr="7B9D98C2">
        <w:rPr>
          <w:rFonts w:asciiTheme="minorHAnsi" w:hAnsiTheme="minorHAnsi" w:cstheme="minorBidi"/>
        </w:rPr>
        <w:t>133.</w:t>
      </w:r>
      <w:r>
        <w:tab/>
      </w:r>
      <w:r w:rsidRPr="7B9D98C2">
        <w:rPr>
          <w:rFonts w:asciiTheme="minorHAnsi" w:hAnsiTheme="minorHAnsi" w:cstheme="minorBidi"/>
        </w:rPr>
        <w:t xml:space="preserve">Clement KD, Emslie K, Maniam P, Wilson MSJ. What is the Operative Cost of Managing Acute Appendicitis in the NHS: The Impact of Stump Technique and Perioperative Imaging. </w:t>
      </w:r>
      <w:r w:rsidRPr="7B9D98C2">
        <w:rPr>
          <w:rFonts w:asciiTheme="minorHAnsi" w:hAnsiTheme="minorHAnsi" w:cstheme="minorBidi"/>
          <w:i/>
        </w:rPr>
        <w:t>World J Surg</w:t>
      </w:r>
      <w:r w:rsidRPr="7B9D98C2">
        <w:rPr>
          <w:rFonts w:asciiTheme="minorHAnsi" w:hAnsiTheme="minorHAnsi" w:cstheme="minorBidi"/>
        </w:rPr>
        <w:t xml:space="preserve"> 2020;44(3):749-54</w:t>
      </w:r>
    </w:p>
    <w:p w14:paraId="35350B6E" w14:textId="04BB4E96" w:rsidR="00883F74" w:rsidRPr="00B7055A" w:rsidRDefault="00883F74" w:rsidP="00B7055A">
      <w:pPr>
        <w:spacing w:line="360" w:lineRule="auto"/>
        <w:ind w:left="851" w:hanging="851"/>
        <w:rPr>
          <w:rFonts w:asciiTheme="minorHAnsi" w:hAnsiTheme="minorHAnsi" w:cstheme="minorBidi"/>
        </w:rPr>
      </w:pPr>
      <w:r w:rsidRPr="00766027">
        <w:rPr>
          <w:rFonts w:asciiTheme="minorHAnsi" w:hAnsiTheme="minorHAnsi" w:cstheme="minorBidi"/>
        </w:rPr>
        <w:t>134.</w:t>
      </w:r>
      <w:r>
        <w:tab/>
      </w:r>
      <w:r w:rsidRPr="00766027">
        <w:rPr>
          <w:rFonts w:asciiTheme="minorHAnsi" w:hAnsiTheme="minorHAnsi" w:cstheme="minorBidi"/>
        </w:rPr>
        <w:t>Flum DR, Davidson</w:t>
      </w:r>
      <w:r w:rsidR="00A40DCC" w:rsidRPr="00766027">
        <w:rPr>
          <w:rFonts w:asciiTheme="minorHAnsi" w:hAnsiTheme="minorHAnsi" w:cstheme="minorBidi"/>
        </w:rPr>
        <w:t xml:space="preserve"> </w:t>
      </w:r>
      <w:r w:rsidRPr="00766027">
        <w:rPr>
          <w:rFonts w:asciiTheme="minorHAnsi" w:hAnsiTheme="minorHAnsi" w:cstheme="minorBidi"/>
        </w:rPr>
        <w:t xml:space="preserve">GH, Monsell SE, Shapiro NI, Odom SR, Sanchez SE, </w:t>
      </w:r>
      <w:r w:rsidR="00F73909" w:rsidRPr="00766027">
        <w:rPr>
          <w:rFonts w:asciiTheme="minorHAnsi" w:hAnsiTheme="minorHAnsi" w:cstheme="minorBidi"/>
        </w:rPr>
        <w:t xml:space="preserve">et al. </w:t>
      </w:r>
      <w:r w:rsidRPr="00B7055A">
        <w:rPr>
          <w:rFonts w:asciiTheme="minorHAnsi" w:hAnsiTheme="minorHAnsi" w:cstheme="minorBidi"/>
        </w:rPr>
        <w:t xml:space="preserve">A randomized trial comparing antibiotics with appendectomy for appendicitis. </w:t>
      </w:r>
      <w:r w:rsidR="00823443" w:rsidRPr="00B01184">
        <w:rPr>
          <w:rFonts w:asciiTheme="minorHAnsi" w:hAnsiTheme="minorHAnsi" w:cstheme="minorBidi"/>
          <w:i/>
        </w:rPr>
        <w:t>NEJM</w:t>
      </w:r>
      <w:r w:rsidR="001B0035" w:rsidRPr="00B01184">
        <w:rPr>
          <w:rFonts w:asciiTheme="minorHAnsi" w:hAnsiTheme="minorHAnsi" w:cstheme="minorBidi"/>
          <w:i/>
        </w:rPr>
        <w:t xml:space="preserve"> </w:t>
      </w:r>
      <w:r w:rsidR="001B0035" w:rsidRPr="00B7055A">
        <w:rPr>
          <w:rFonts w:asciiTheme="minorHAnsi" w:hAnsiTheme="minorHAnsi" w:cstheme="minorBidi"/>
        </w:rPr>
        <w:t>2020;</w:t>
      </w:r>
      <w:r w:rsidRPr="00B7055A">
        <w:rPr>
          <w:rFonts w:asciiTheme="minorHAnsi" w:hAnsiTheme="minorHAnsi" w:cstheme="minorBidi"/>
        </w:rPr>
        <w:t xml:space="preserve"> 383</w:t>
      </w:r>
      <w:r w:rsidR="001B0035" w:rsidRPr="00B7055A">
        <w:rPr>
          <w:rFonts w:asciiTheme="minorHAnsi" w:hAnsiTheme="minorHAnsi" w:cstheme="minorBidi"/>
        </w:rPr>
        <w:t>:</w:t>
      </w:r>
      <w:r w:rsidRPr="00B7055A">
        <w:rPr>
          <w:rFonts w:asciiTheme="minorHAnsi" w:hAnsiTheme="minorHAnsi" w:cstheme="minorBidi"/>
        </w:rPr>
        <w:t>1907-1919. https://dx.doi.org/10.1056/NEJMoa2014320</w:t>
      </w:r>
    </w:p>
    <w:p w14:paraId="22CB232E" w14:textId="0CBCBCFB" w:rsidR="00883F74" w:rsidRDefault="00645B6F" w:rsidP="00B86E8C">
      <w:pPr>
        <w:spacing w:line="360" w:lineRule="auto"/>
        <w:ind w:left="851" w:hanging="851"/>
        <w:rPr>
          <w:rFonts w:asciiTheme="minorHAnsi" w:hAnsiTheme="minorHAnsi" w:cstheme="minorBidi"/>
        </w:rPr>
      </w:pPr>
      <w:r w:rsidRPr="00B7055A">
        <w:rPr>
          <w:rFonts w:asciiTheme="minorHAnsi" w:hAnsiTheme="minorHAnsi" w:cstheme="minorBidi"/>
        </w:rPr>
        <w:t>135.</w:t>
      </w:r>
      <w:r>
        <w:tab/>
      </w:r>
      <w:r w:rsidRPr="00CB6A96">
        <w:rPr>
          <w:rFonts w:asciiTheme="minorHAnsi" w:hAnsiTheme="minorHAnsi" w:cstheme="minorBidi"/>
        </w:rPr>
        <w:t xml:space="preserve">﻿Stellingwerf ME, Sahami S, Winter DC, Martin ST, D’Haens GR, Cullen G, et al. Prospective cohort study of appendicectomy for treatment of therapy-refractory ulcerative colitis. </w:t>
      </w:r>
      <w:r w:rsidRPr="00760225">
        <w:rPr>
          <w:rFonts w:asciiTheme="minorHAnsi" w:hAnsiTheme="minorHAnsi" w:cstheme="minorBidi"/>
          <w:i/>
        </w:rPr>
        <w:t>Br J Surg</w:t>
      </w:r>
      <w:r w:rsidRPr="00760225">
        <w:rPr>
          <w:rFonts w:asciiTheme="minorHAnsi" w:hAnsiTheme="minorHAnsi" w:cstheme="minorBidi"/>
        </w:rPr>
        <w:t xml:space="preserve"> 2019;1697–704</w:t>
      </w:r>
    </w:p>
    <w:p w14:paraId="3220571C" w14:textId="2A65F5B9" w:rsidR="00760225" w:rsidRPr="00760225" w:rsidRDefault="00760225" w:rsidP="00B86E8C">
      <w:pPr>
        <w:spacing w:line="360" w:lineRule="auto"/>
        <w:ind w:left="851" w:hanging="851"/>
        <w:rPr>
          <w:rFonts w:asciiTheme="minorHAnsi" w:hAnsiTheme="minorHAnsi" w:cstheme="minorBidi"/>
        </w:rPr>
      </w:pPr>
      <w:r>
        <w:rPr>
          <w:rFonts w:asciiTheme="minorHAnsi" w:hAnsiTheme="minorHAnsi" w:cstheme="minorBidi"/>
        </w:rPr>
        <w:t>136</w:t>
      </w:r>
      <w:r w:rsidR="00B01184">
        <w:rPr>
          <w:rFonts w:asciiTheme="minorHAnsi" w:hAnsiTheme="minorHAnsi" w:cstheme="minorBidi"/>
        </w:rPr>
        <w:t>.</w:t>
      </w:r>
      <w:r>
        <w:tab/>
      </w:r>
      <w:r w:rsidRPr="00760225">
        <w:rPr>
          <w:rFonts w:asciiTheme="minorHAnsi" w:hAnsiTheme="minorHAnsi" w:cstheme="minorBidi"/>
        </w:rPr>
        <w:t xml:space="preserve">﻿Koumarelas K, Theodoropoulos GE, Spyropoulos BG, Bramis K, Manouras A, Zografos G. A prospective longitudinal evaluation and affecting factors of health related quality of life after appendectomy. </w:t>
      </w:r>
      <w:r w:rsidRPr="00760225">
        <w:rPr>
          <w:rFonts w:asciiTheme="minorHAnsi" w:hAnsiTheme="minorHAnsi" w:cstheme="minorBidi"/>
          <w:i/>
          <w:iCs/>
        </w:rPr>
        <w:t>Int J Surg</w:t>
      </w:r>
      <w:r w:rsidRPr="00760225">
        <w:rPr>
          <w:rFonts w:asciiTheme="minorHAnsi" w:hAnsiTheme="minorHAnsi" w:cstheme="minorBidi"/>
        </w:rPr>
        <w:t xml:space="preserve"> 2014;12(8):848–57.</w:t>
      </w:r>
    </w:p>
    <w:p w14:paraId="7343C4FE" w14:textId="58F4C2BC" w:rsidR="00377A0B" w:rsidRPr="00760225" w:rsidRDefault="00377A0B" w:rsidP="00B86E8C">
      <w:pPr>
        <w:spacing w:line="360" w:lineRule="auto"/>
        <w:ind w:left="851" w:hanging="851"/>
        <w:rPr>
          <w:rFonts w:asciiTheme="minorHAnsi" w:hAnsiTheme="minorHAnsi" w:cstheme="minorBidi"/>
        </w:rPr>
      </w:pPr>
      <w:r>
        <w:rPr>
          <w:rFonts w:asciiTheme="minorHAnsi" w:hAnsiTheme="minorHAnsi" w:cstheme="minorBidi"/>
        </w:rPr>
        <w:t>137.</w:t>
      </w:r>
      <w:r>
        <w:rPr>
          <w:rFonts w:asciiTheme="minorHAnsi" w:hAnsiTheme="minorHAnsi" w:cstheme="minorBidi"/>
        </w:rPr>
        <w:tab/>
      </w:r>
      <w:r w:rsidRPr="00377A0B">
        <w:rPr>
          <w:rFonts w:asciiTheme="minorHAnsi" w:hAnsiTheme="minorHAnsi" w:cstheme="minorBidi"/>
        </w:rPr>
        <w:t xml:space="preserve">﻿Barger J, Stenquist DS, Mohamadi A, Weaver MJ, Dyer GSM, von Keudell A. Acute versus delayed reverse total shoulder Arthroplasty for the management of Proximal Humerus Fractures. </w:t>
      </w:r>
      <w:r w:rsidRPr="00CB6A96">
        <w:rPr>
          <w:rFonts w:asciiTheme="minorHAnsi" w:hAnsiTheme="minorHAnsi" w:cstheme="minorBidi"/>
          <w:i/>
        </w:rPr>
        <w:t>Injury</w:t>
      </w:r>
      <w:r w:rsidRPr="00377A0B">
        <w:rPr>
          <w:rFonts w:asciiTheme="minorHAnsi" w:hAnsiTheme="minorHAnsi" w:cstheme="minorBidi"/>
        </w:rPr>
        <w:t xml:space="preserve"> 2021;52(8):2272–8.</w:t>
      </w:r>
    </w:p>
    <w:p w14:paraId="01C74355" w14:textId="20615C6B" w:rsidR="00014215" w:rsidRDefault="00014215" w:rsidP="00B86E8C">
      <w:pPr>
        <w:spacing w:line="360" w:lineRule="auto"/>
        <w:ind w:left="851" w:hanging="851"/>
        <w:rPr>
          <w:rFonts w:asciiTheme="minorHAnsi" w:hAnsiTheme="minorHAnsi" w:cstheme="minorBidi"/>
        </w:rPr>
      </w:pPr>
      <w:r>
        <w:rPr>
          <w:rFonts w:asciiTheme="minorHAnsi" w:hAnsiTheme="minorHAnsi" w:cstheme="minorBidi"/>
        </w:rPr>
        <w:t>138</w:t>
      </w:r>
      <w:r w:rsidR="0047412A">
        <w:rPr>
          <w:rFonts w:asciiTheme="minorHAnsi" w:hAnsiTheme="minorHAnsi" w:cstheme="minorBidi"/>
        </w:rPr>
        <w:t>.</w:t>
      </w:r>
      <w:r>
        <w:rPr>
          <w:rFonts w:asciiTheme="minorHAnsi" w:hAnsiTheme="minorHAnsi" w:cstheme="minorBidi"/>
        </w:rPr>
        <w:tab/>
      </w:r>
      <w:r w:rsidRPr="00014215">
        <w:rPr>
          <w:rFonts w:asciiTheme="minorHAnsi" w:hAnsiTheme="minorHAnsi" w:cstheme="minorBidi"/>
        </w:rPr>
        <w:t xml:space="preserve">﻿Karimuddin A, Albanese CM, Crump T, Liu G, Sutherland JM. Measuring the impact of delayed access to elective cholecystectomy through patient’s cost-utility: An observational cohort study. </w:t>
      </w:r>
      <w:r w:rsidRPr="00CB6A96">
        <w:rPr>
          <w:rFonts w:asciiTheme="minorHAnsi" w:hAnsiTheme="minorHAnsi" w:cstheme="minorBidi"/>
          <w:i/>
        </w:rPr>
        <w:t>Int J Qual Heal Care</w:t>
      </w:r>
      <w:r w:rsidRPr="00014215">
        <w:rPr>
          <w:rFonts w:asciiTheme="minorHAnsi" w:hAnsiTheme="minorHAnsi" w:cstheme="minorBidi"/>
        </w:rPr>
        <w:t xml:space="preserve"> 2021;33(1):1–7</w:t>
      </w:r>
    </w:p>
    <w:p w14:paraId="3DDACC29" w14:textId="7C90D7CE" w:rsidR="00A32D85" w:rsidRDefault="00E86243" w:rsidP="00B86E8C">
      <w:pPr>
        <w:spacing w:line="360" w:lineRule="auto"/>
        <w:ind w:left="851" w:hanging="851"/>
        <w:rPr>
          <w:rFonts w:asciiTheme="minorHAnsi" w:hAnsiTheme="minorHAnsi" w:cstheme="minorBidi"/>
        </w:rPr>
      </w:pPr>
      <w:r>
        <w:rPr>
          <w:rFonts w:asciiTheme="minorHAnsi" w:hAnsiTheme="minorHAnsi" w:cstheme="minorBidi"/>
        </w:rPr>
        <w:t>139</w:t>
      </w:r>
      <w:r w:rsidR="0047412A">
        <w:rPr>
          <w:rFonts w:asciiTheme="minorHAnsi" w:hAnsiTheme="minorHAnsi" w:cstheme="minorBidi"/>
        </w:rPr>
        <w:t>.</w:t>
      </w:r>
      <w:r>
        <w:rPr>
          <w:rFonts w:asciiTheme="minorHAnsi" w:hAnsiTheme="minorHAnsi" w:cstheme="minorBidi"/>
        </w:rPr>
        <w:tab/>
      </w:r>
      <w:r w:rsidRPr="00E86243">
        <w:rPr>
          <w:rFonts w:asciiTheme="minorHAnsi" w:hAnsiTheme="minorHAnsi" w:cstheme="minorBidi"/>
        </w:rPr>
        <w:t xml:space="preserve">﻿Holmberg ST, Salvesen ØO, Vangen-Lønne V, Hara S, Fredheim OM, Solberg TK, et al. Pain During Sex Before and After Surgery for Lumbar Disc Herniation: A Multicenter Observational Study. </w:t>
      </w:r>
      <w:r w:rsidRPr="00CB6A96">
        <w:rPr>
          <w:rFonts w:asciiTheme="minorHAnsi" w:hAnsiTheme="minorHAnsi" w:cstheme="minorBidi"/>
          <w:i/>
        </w:rPr>
        <w:t>Spine</w:t>
      </w:r>
      <w:r w:rsidRPr="00E86243">
        <w:rPr>
          <w:rFonts w:asciiTheme="minorHAnsi" w:hAnsiTheme="minorHAnsi" w:cstheme="minorBidi"/>
        </w:rPr>
        <w:t xml:space="preserve"> </w:t>
      </w:r>
      <w:r w:rsidRPr="005E1B30">
        <w:rPr>
          <w:rFonts w:asciiTheme="minorHAnsi" w:hAnsiTheme="minorHAnsi" w:cstheme="minorBidi"/>
          <w:i/>
        </w:rPr>
        <w:t xml:space="preserve">(Phila Pa 1976) </w:t>
      </w:r>
      <w:r w:rsidRPr="00E86243">
        <w:rPr>
          <w:rFonts w:asciiTheme="minorHAnsi" w:hAnsiTheme="minorHAnsi" w:cstheme="minorBidi"/>
        </w:rPr>
        <w:t xml:space="preserve">2020;45(24). </w:t>
      </w:r>
    </w:p>
    <w:p w14:paraId="7D40E127" w14:textId="02763EB1" w:rsidR="00014215" w:rsidRPr="00760225" w:rsidRDefault="001E0215" w:rsidP="00B86E8C">
      <w:pPr>
        <w:spacing w:line="360" w:lineRule="auto"/>
        <w:ind w:left="851" w:hanging="851"/>
        <w:rPr>
          <w:rFonts w:asciiTheme="minorHAnsi" w:hAnsiTheme="minorHAnsi" w:cstheme="minorBidi"/>
        </w:rPr>
      </w:pPr>
      <w:r>
        <w:rPr>
          <w:rFonts w:asciiTheme="minorHAnsi" w:hAnsiTheme="minorHAnsi" w:cstheme="minorBidi"/>
        </w:rPr>
        <w:t>140</w:t>
      </w:r>
      <w:r w:rsidR="0047412A">
        <w:rPr>
          <w:rFonts w:asciiTheme="minorHAnsi" w:hAnsiTheme="minorHAnsi" w:cstheme="minorBidi"/>
        </w:rPr>
        <w:t>.</w:t>
      </w:r>
      <w:r>
        <w:tab/>
      </w:r>
      <w:r w:rsidRPr="001E0215">
        <w:rPr>
          <w:rFonts w:asciiTheme="minorHAnsi" w:hAnsiTheme="minorHAnsi" w:cstheme="minorBidi"/>
        </w:rPr>
        <w:t xml:space="preserve">Ruiz-Romero MV, Fernandez-Ojeda MDR, Castilla Yelamo J, Garcia-Benitez JB, Calero-Bernal ML, Fernandez-Moyano A. [Influence of early hip fracture surgery in the elderly on mortality, readmissions, dependence and quality of life.]. [in Spanish] </w:t>
      </w:r>
      <w:r w:rsidRPr="00CB6A96">
        <w:rPr>
          <w:rFonts w:asciiTheme="minorHAnsi" w:hAnsiTheme="minorHAnsi" w:cstheme="minorBidi"/>
          <w:i/>
        </w:rPr>
        <w:t>Rev Esp Salud Publica</w:t>
      </w:r>
      <w:r w:rsidRPr="001E0215">
        <w:rPr>
          <w:rFonts w:asciiTheme="minorHAnsi" w:hAnsiTheme="minorHAnsi" w:cstheme="minorBidi"/>
        </w:rPr>
        <w:t xml:space="preserve"> 2020;94</w:t>
      </w:r>
    </w:p>
    <w:p w14:paraId="638F060E" w14:textId="2C438EAB" w:rsidR="0047412A" w:rsidRDefault="0047412A" w:rsidP="00B86E8C">
      <w:pPr>
        <w:spacing w:line="360" w:lineRule="auto"/>
        <w:ind w:left="851" w:hanging="851"/>
        <w:rPr>
          <w:rFonts w:asciiTheme="minorHAnsi" w:hAnsiTheme="minorHAnsi" w:cstheme="minorBidi"/>
        </w:rPr>
      </w:pPr>
      <w:r>
        <w:rPr>
          <w:rFonts w:asciiTheme="minorHAnsi" w:hAnsiTheme="minorHAnsi" w:cstheme="minorBidi"/>
        </w:rPr>
        <w:t>141.</w:t>
      </w:r>
      <w:r w:rsidR="000A3EAA">
        <w:rPr>
          <w:rFonts w:asciiTheme="minorHAnsi" w:hAnsiTheme="minorHAnsi" w:cstheme="minorBidi"/>
        </w:rPr>
        <w:tab/>
      </w:r>
      <w:r w:rsidR="000A3EAA" w:rsidRPr="000A3EAA">
        <w:rPr>
          <w:rFonts w:asciiTheme="minorHAnsi" w:hAnsiTheme="minorHAnsi" w:cstheme="minorBidi"/>
        </w:rPr>
        <w:t xml:space="preserve">Bisoyi S, Jagannathan U, Dash AK, Mohapatra R, Nayak D, Sahu S, Satyanarayan P. Decision making, management, and midterm outcomes of postinfarction ventricular septal rupture: Our experience with 21 patients. </w:t>
      </w:r>
      <w:r w:rsidR="000A3EAA" w:rsidRPr="00CB6A96">
        <w:rPr>
          <w:rFonts w:asciiTheme="minorHAnsi" w:hAnsiTheme="minorHAnsi" w:cstheme="minorBidi"/>
          <w:i/>
        </w:rPr>
        <w:t>Ann Card Anaesth</w:t>
      </w:r>
      <w:r w:rsidR="000A3EAA" w:rsidRPr="000A3EAA">
        <w:rPr>
          <w:rFonts w:asciiTheme="minorHAnsi" w:hAnsiTheme="minorHAnsi" w:cstheme="minorBidi"/>
        </w:rPr>
        <w:t xml:space="preserve"> 2020;23:471-6</w:t>
      </w:r>
    </w:p>
    <w:p w14:paraId="38A5B9AB" w14:textId="6E1BC55A" w:rsidR="007A1259" w:rsidRPr="00404610" w:rsidRDefault="007A1259" w:rsidP="00B86E8C">
      <w:pPr>
        <w:spacing w:line="360" w:lineRule="auto"/>
        <w:ind w:left="851" w:hanging="851"/>
        <w:rPr>
          <w:rFonts w:asciiTheme="minorHAnsi" w:hAnsiTheme="minorHAnsi" w:cstheme="minorBidi"/>
          <w:lang w:val="fr-FR"/>
        </w:rPr>
      </w:pPr>
      <w:r>
        <w:rPr>
          <w:rFonts w:asciiTheme="minorHAnsi" w:hAnsiTheme="minorHAnsi" w:cstheme="minorBidi"/>
        </w:rPr>
        <w:t>142.</w:t>
      </w:r>
      <w:r>
        <w:rPr>
          <w:rFonts w:asciiTheme="minorHAnsi" w:hAnsiTheme="minorHAnsi" w:cstheme="minorBidi"/>
        </w:rPr>
        <w:tab/>
      </w:r>
      <w:r w:rsidRPr="007A1259">
        <w:rPr>
          <w:rFonts w:asciiTheme="minorHAnsi" w:hAnsiTheme="minorHAnsi" w:cstheme="minorBidi"/>
        </w:rPr>
        <w:t xml:space="preserve">﻿van Tol FR, Suijkerbuijk KPM, Choi D, Verkooijen HM, Oner FC, Verlaan JJ. The importance of timely treatment for quality of life and survival in patients with symptomatic spinal metastases. </w:t>
      </w:r>
      <w:r w:rsidRPr="00404610">
        <w:rPr>
          <w:rFonts w:asciiTheme="minorHAnsi" w:hAnsiTheme="minorHAnsi" w:cstheme="minorBidi"/>
          <w:i/>
          <w:lang w:val="fr-FR"/>
        </w:rPr>
        <w:t>Eur Spine J</w:t>
      </w:r>
      <w:r w:rsidRPr="00404610">
        <w:rPr>
          <w:rFonts w:asciiTheme="minorHAnsi" w:hAnsiTheme="minorHAnsi" w:cstheme="minorBidi"/>
          <w:lang w:val="fr-FR"/>
        </w:rPr>
        <w:t xml:space="preserve"> 2020;29(12):3170–8</w:t>
      </w:r>
    </w:p>
    <w:p w14:paraId="1DA557A0" w14:textId="5690D991" w:rsidR="002837FB" w:rsidRDefault="002837FB" w:rsidP="00B86E8C">
      <w:pPr>
        <w:spacing w:line="360" w:lineRule="auto"/>
        <w:ind w:left="851" w:hanging="851"/>
        <w:rPr>
          <w:rFonts w:asciiTheme="minorHAnsi" w:hAnsiTheme="minorHAnsi" w:cstheme="minorBidi"/>
        </w:rPr>
      </w:pPr>
      <w:r w:rsidRPr="00404610">
        <w:rPr>
          <w:rFonts w:asciiTheme="minorHAnsi" w:hAnsiTheme="minorHAnsi" w:cstheme="minorBidi"/>
          <w:lang w:val="fr-FR"/>
        </w:rPr>
        <w:t>143.</w:t>
      </w:r>
      <w:r w:rsidRPr="00404610">
        <w:rPr>
          <w:rFonts w:asciiTheme="minorHAnsi" w:hAnsiTheme="minorHAnsi" w:cstheme="minorBidi"/>
          <w:lang w:val="fr-FR"/>
        </w:rPr>
        <w:tab/>
        <w:t xml:space="preserve"> </w:t>
      </w:r>
      <w:r w:rsidRPr="002837FB">
        <w:rPr>
          <w:rFonts w:asciiTheme="minorHAnsi" w:hAnsiTheme="minorHAnsi" w:cstheme="minorBidi"/>
        </w:rPr>
        <w:t>﻿</w:t>
      </w:r>
      <w:r w:rsidRPr="00404610">
        <w:rPr>
          <w:rFonts w:asciiTheme="minorHAnsi" w:hAnsiTheme="minorHAnsi" w:cstheme="minorBidi"/>
          <w:lang w:val="fr-FR"/>
        </w:rPr>
        <w:t xml:space="preserve">Achit H, Guillemin F, Karam G, Ladrière M, Baumann C, Frimat L, et al. </w:t>
      </w:r>
      <w:r w:rsidRPr="002837FB">
        <w:rPr>
          <w:rFonts w:asciiTheme="minorHAnsi" w:hAnsiTheme="minorHAnsi" w:cstheme="minorBidi"/>
        </w:rPr>
        <w:t xml:space="preserve">Cost-effectiveness of four living-donor nephrectomy techniques from a hospital perspective. </w:t>
      </w:r>
      <w:r w:rsidRPr="00CB6A96">
        <w:rPr>
          <w:rFonts w:asciiTheme="minorHAnsi" w:hAnsiTheme="minorHAnsi" w:cstheme="minorBidi"/>
          <w:i/>
        </w:rPr>
        <w:t>Nephrol Dial Transplant</w:t>
      </w:r>
      <w:r w:rsidRPr="002837FB">
        <w:rPr>
          <w:rFonts w:asciiTheme="minorHAnsi" w:hAnsiTheme="minorHAnsi" w:cstheme="minorBidi"/>
        </w:rPr>
        <w:t xml:space="preserve"> 2020 Nov 1;35(11):2004–12. </w:t>
      </w:r>
    </w:p>
    <w:p w14:paraId="17DF1341" w14:textId="42B28560" w:rsidR="00CB788A" w:rsidRDefault="00CB788A" w:rsidP="00B86E8C">
      <w:pPr>
        <w:spacing w:line="360" w:lineRule="auto"/>
        <w:ind w:left="851" w:hanging="851"/>
        <w:rPr>
          <w:rFonts w:asciiTheme="minorHAnsi" w:hAnsiTheme="minorHAnsi" w:cstheme="minorBidi"/>
        </w:rPr>
      </w:pPr>
      <w:r>
        <w:rPr>
          <w:rFonts w:asciiTheme="minorHAnsi" w:hAnsiTheme="minorHAnsi" w:cstheme="minorBidi"/>
        </w:rPr>
        <w:t>144.</w:t>
      </w:r>
      <w:r>
        <w:tab/>
      </w:r>
      <w:r>
        <w:rPr>
          <w:rFonts w:asciiTheme="minorHAnsi" w:hAnsiTheme="minorHAnsi" w:cstheme="minorBidi"/>
        </w:rPr>
        <w:t xml:space="preserve"> </w:t>
      </w:r>
      <w:r w:rsidRPr="00CB788A">
        <w:rPr>
          <w:rFonts w:asciiTheme="minorHAnsi" w:hAnsiTheme="minorHAnsi" w:cstheme="minorBidi"/>
        </w:rPr>
        <w:t xml:space="preserve">Sutherland JM, Mok J, Liu G, Karimuddin A, Crump T. A Cost-Utility Study of Laparoscopic Cholecystectomy for the Treatment of Symptomatic Gallstones. </w:t>
      </w:r>
      <w:r w:rsidRPr="00CB6A96">
        <w:rPr>
          <w:rFonts w:asciiTheme="minorHAnsi" w:hAnsiTheme="minorHAnsi" w:cstheme="minorBidi"/>
          <w:i/>
        </w:rPr>
        <w:t xml:space="preserve">J Gastrointest Surg </w:t>
      </w:r>
      <w:r w:rsidRPr="00CB788A">
        <w:rPr>
          <w:rFonts w:asciiTheme="minorHAnsi" w:hAnsiTheme="minorHAnsi" w:cstheme="minorBidi"/>
        </w:rPr>
        <w:t>2020;24(6):1314–9</w:t>
      </w:r>
    </w:p>
    <w:p w14:paraId="2DBCB6D9" w14:textId="2D8F1FCD" w:rsidR="00A70EF0" w:rsidRDefault="00A70EF0" w:rsidP="00B86E8C">
      <w:pPr>
        <w:spacing w:line="360" w:lineRule="auto"/>
        <w:ind w:left="851" w:hanging="851"/>
        <w:rPr>
          <w:rFonts w:asciiTheme="minorHAnsi" w:hAnsiTheme="minorHAnsi" w:cstheme="minorBidi"/>
        </w:rPr>
      </w:pPr>
      <w:r>
        <w:rPr>
          <w:rFonts w:asciiTheme="minorHAnsi" w:hAnsiTheme="minorHAnsi" w:cstheme="minorBidi"/>
        </w:rPr>
        <w:t>145.</w:t>
      </w:r>
      <w:r>
        <w:tab/>
      </w:r>
      <w:r w:rsidRPr="00A70EF0">
        <w:rPr>
          <w:rFonts w:asciiTheme="minorHAnsi" w:hAnsiTheme="minorHAnsi" w:cstheme="minorBidi"/>
        </w:rPr>
        <w:t xml:space="preserve">﻿Sinan H, Saydam M, Demir P, Ozer M, Demirbas S. Comparison of single-incision and conventional laparoscopic cholecystectomy in terms of quality of life, body image, and cosmesis. </w:t>
      </w:r>
      <w:r w:rsidRPr="00CB6A96">
        <w:rPr>
          <w:rFonts w:asciiTheme="minorHAnsi" w:hAnsiTheme="minorHAnsi" w:cstheme="minorBidi"/>
          <w:i/>
        </w:rPr>
        <w:t>Niger J Clin Pract</w:t>
      </w:r>
      <w:r w:rsidRPr="00A70EF0">
        <w:rPr>
          <w:rFonts w:asciiTheme="minorHAnsi" w:hAnsiTheme="minorHAnsi" w:cstheme="minorBidi"/>
        </w:rPr>
        <w:t xml:space="preserve"> 2019;22(4):521–6</w:t>
      </w:r>
    </w:p>
    <w:p w14:paraId="7EDB7302" w14:textId="5230E430" w:rsidR="00AC5014" w:rsidRDefault="00AC5014" w:rsidP="00B86E8C">
      <w:pPr>
        <w:spacing w:line="360" w:lineRule="auto"/>
        <w:ind w:left="851" w:hanging="851"/>
        <w:rPr>
          <w:rFonts w:asciiTheme="minorHAnsi" w:hAnsiTheme="minorHAnsi" w:cstheme="minorBidi"/>
        </w:rPr>
      </w:pPr>
      <w:r>
        <w:rPr>
          <w:rFonts w:asciiTheme="minorHAnsi" w:hAnsiTheme="minorHAnsi" w:cstheme="minorBidi"/>
        </w:rPr>
        <w:t>146.</w:t>
      </w:r>
      <w:r>
        <w:rPr>
          <w:rFonts w:asciiTheme="minorHAnsi" w:hAnsiTheme="minorHAnsi" w:cstheme="minorBidi"/>
        </w:rPr>
        <w:tab/>
      </w:r>
      <w:r w:rsidRPr="00AC5014">
        <w:rPr>
          <w:rFonts w:asciiTheme="minorHAnsi" w:hAnsiTheme="minorHAnsi" w:cstheme="minorBidi"/>
        </w:rPr>
        <w:t xml:space="preserve">﻿Lombardo S, Rosenberg JS, Kim J, Erdene S, Sergelen O, Nellermoe J, et al. Cost and outcomes of open versus laparoscopic cholecystectomy in Mongolia. </w:t>
      </w:r>
      <w:r w:rsidRPr="00CB6A96">
        <w:rPr>
          <w:rFonts w:asciiTheme="minorHAnsi" w:hAnsiTheme="minorHAnsi" w:cstheme="minorBidi"/>
          <w:i/>
        </w:rPr>
        <w:t>J Surg Res</w:t>
      </w:r>
      <w:r w:rsidRPr="00AC5014">
        <w:rPr>
          <w:rFonts w:asciiTheme="minorHAnsi" w:hAnsiTheme="minorHAnsi" w:cstheme="minorBidi"/>
        </w:rPr>
        <w:t xml:space="preserve"> 2018;229:186–91</w:t>
      </w:r>
    </w:p>
    <w:p w14:paraId="2922A82C" w14:textId="1FA44FA3" w:rsidR="00AC5014" w:rsidRDefault="00AC5014" w:rsidP="00B86E8C">
      <w:pPr>
        <w:spacing w:line="360" w:lineRule="auto"/>
        <w:ind w:left="851" w:hanging="851"/>
        <w:rPr>
          <w:rFonts w:asciiTheme="minorHAnsi" w:hAnsiTheme="minorHAnsi" w:cstheme="minorBidi"/>
        </w:rPr>
      </w:pPr>
      <w:r>
        <w:rPr>
          <w:rFonts w:asciiTheme="minorHAnsi" w:hAnsiTheme="minorHAnsi" w:cstheme="minorBidi"/>
        </w:rPr>
        <w:t>147.</w:t>
      </w:r>
      <w:r>
        <w:rPr>
          <w:rFonts w:asciiTheme="minorHAnsi" w:hAnsiTheme="minorHAnsi" w:cstheme="minorBidi"/>
        </w:rPr>
        <w:tab/>
      </w:r>
      <w:r w:rsidR="00744BE9" w:rsidRPr="00744BE9">
        <w:rPr>
          <w:rFonts w:asciiTheme="minorHAnsi" w:hAnsiTheme="minorHAnsi" w:cstheme="minorBidi"/>
        </w:rPr>
        <w:t xml:space="preserve">﻿Ramakrishnan A, Webb KM, Cowperthwaite MC. One-year outcomes of early-crossover patients in a cohort receiving nonoperative care for lumbar disc herniation. </w:t>
      </w:r>
      <w:r w:rsidR="00744BE9" w:rsidRPr="00CB6A96">
        <w:rPr>
          <w:rFonts w:asciiTheme="minorHAnsi" w:hAnsiTheme="minorHAnsi" w:cstheme="minorBidi"/>
          <w:i/>
        </w:rPr>
        <w:t>J Neurosurg Spine</w:t>
      </w:r>
      <w:r w:rsidR="00744BE9" w:rsidRPr="00744BE9">
        <w:rPr>
          <w:rFonts w:asciiTheme="minorHAnsi" w:hAnsiTheme="minorHAnsi" w:cstheme="minorBidi"/>
        </w:rPr>
        <w:t xml:space="preserve"> 2017;27(4):391–6</w:t>
      </w:r>
    </w:p>
    <w:p w14:paraId="16258C05" w14:textId="141BF362" w:rsidR="00744BE9" w:rsidRDefault="00744BE9" w:rsidP="00B86E8C">
      <w:pPr>
        <w:spacing w:line="360" w:lineRule="auto"/>
        <w:ind w:left="851" w:hanging="851"/>
        <w:rPr>
          <w:rFonts w:asciiTheme="minorHAnsi" w:hAnsiTheme="minorHAnsi" w:cstheme="minorBidi"/>
        </w:rPr>
      </w:pPr>
      <w:r>
        <w:rPr>
          <w:rFonts w:asciiTheme="minorHAnsi" w:hAnsiTheme="minorHAnsi" w:cstheme="minorBidi"/>
        </w:rPr>
        <w:t>148.</w:t>
      </w:r>
      <w:r>
        <w:rPr>
          <w:rFonts w:asciiTheme="minorHAnsi" w:hAnsiTheme="minorHAnsi" w:cstheme="minorBidi"/>
        </w:rPr>
        <w:tab/>
      </w:r>
      <w:r w:rsidR="003D3C10" w:rsidRPr="003D3C10">
        <w:rPr>
          <w:rFonts w:asciiTheme="minorHAnsi" w:hAnsiTheme="minorHAnsi" w:cstheme="minorBidi"/>
        </w:rPr>
        <w:t xml:space="preserve">﻿Rystedt JML, Tingstedt B, Montgomery F, Montgomery AK. Routine intraoperative cholangiography during cholecystectomy is a cost-effective approach when analysing the cost of iatrogenic bile duct injuries. </w:t>
      </w:r>
      <w:r w:rsidR="003D3C10" w:rsidRPr="00CB6A96">
        <w:rPr>
          <w:rFonts w:asciiTheme="minorHAnsi" w:hAnsiTheme="minorHAnsi" w:cstheme="minorBidi"/>
          <w:i/>
        </w:rPr>
        <w:t>HPB</w:t>
      </w:r>
      <w:r w:rsidR="00D43F7C">
        <w:rPr>
          <w:rFonts w:asciiTheme="minorHAnsi" w:hAnsiTheme="minorHAnsi" w:cstheme="minorBidi"/>
        </w:rPr>
        <w:t xml:space="preserve"> </w:t>
      </w:r>
      <w:r w:rsidR="003D3C10" w:rsidRPr="003D3C10">
        <w:rPr>
          <w:rFonts w:asciiTheme="minorHAnsi" w:hAnsiTheme="minorHAnsi" w:cstheme="minorBidi"/>
        </w:rPr>
        <w:t>2017;19(10):881–8</w:t>
      </w:r>
    </w:p>
    <w:p w14:paraId="333297AB" w14:textId="43678BD4" w:rsidR="00D43F7C" w:rsidRDefault="00D43F7C" w:rsidP="00B86E8C">
      <w:pPr>
        <w:spacing w:line="360" w:lineRule="auto"/>
        <w:ind w:left="851" w:hanging="851"/>
        <w:rPr>
          <w:rFonts w:asciiTheme="minorHAnsi" w:hAnsiTheme="minorHAnsi" w:cstheme="minorBidi"/>
        </w:rPr>
      </w:pPr>
      <w:r>
        <w:rPr>
          <w:rFonts w:asciiTheme="minorHAnsi" w:hAnsiTheme="minorHAnsi" w:cstheme="minorBidi"/>
        </w:rPr>
        <w:t>149.</w:t>
      </w:r>
      <w:r>
        <w:rPr>
          <w:rFonts w:asciiTheme="minorHAnsi" w:hAnsiTheme="minorHAnsi" w:cstheme="minorBidi"/>
        </w:rPr>
        <w:tab/>
      </w:r>
      <w:r w:rsidRPr="00D43F7C">
        <w:rPr>
          <w:rFonts w:asciiTheme="minorHAnsi" w:hAnsiTheme="minorHAnsi" w:cstheme="minorBidi"/>
        </w:rPr>
        <w:t>﻿</w:t>
      </w:r>
      <w:r>
        <w:rPr>
          <w:rFonts w:asciiTheme="minorHAnsi" w:hAnsiTheme="minorHAnsi" w:cstheme="minorBidi"/>
        </w:rPr>
        <w:t>R</w:t>
      </w:r>
      <w:r w:rsidRPr="00D43F7C">
        <w:rPr>
          <w:rFonts w:asciiTheme="minorHAnsi" w:hAnsiTheme="minorHAnsi" w:cstheme="minorBidi"/>
        </w:rPr>
        <w:t xml:space="preserve">osenmüller MH, Nilsson E, Lindberg F, Åberg SO, Haapamäki MM. Costs and quality of life of small-incision open cholecystectomy and laparoscopic cholecystectomy - an expertise-based randomised controlled trial. </w:t>
      </w:r>
      <w:r w:rsidRPr="00CB6A96">
        <w:rPr>
          <w:rFonts w:asciiTheme="minorHAnsi" w:hAnsiTheme="minorHAnsi" w:cstheme="minorBidi"/>
          <w:i/>
        </w:rPr>
        <w:t>BMC Gastroenterol</w:t>
      </w:r>
      <w:r w:rsidRPr="00D43F7C">
        <w:rPr>
          <w:rFonts w:asciiTheme="minorHAnsi" w:hAnsiTheme="minorHAnsi" w:cstheme="minorBidi"/>
        </w:rPr>
        <w:t xml:space="preserve"> 2017;17(1):1–8</w:t>
      </w:r>
    </w:p>
    <w:p w14:paraId="2AA004CE" w14:textId="7C79DDFC" w:rsidR="00D43F7C" w:rsidRDefault="001115EB" w:rsidP="00B86E8C">
      <w:pPr>
        <w:spacing w:line="360" w:lineRule="auto"/>
        <w:ind w:left="851" w:hanging="851"/>
        <w:rPr>
          <w:rFonts w:asciiTheme="minorHAnsi" w:hAnsiTheme="minorHAnsi" w:cstheme="minorBidi"/>
        </w:rPr>
      </w:pPr>
      <w:r>
        <w:rPr>
          <w:rFonts w:asciiTheme="minorHAnsi" w:hAnsiTheme="minorHAnsi" w:cstheme="minorBidi"/>
        </w:rPr>
        <w:t>150.</w:t>
      </w:r>
      <w:r>
        <w:rPr>
          <w:rFonts w:asciiTheme="minorHAnsi" w:hAnsiTheme="minorHAnsi" w:cstheme="minorBidi"/>
        </w:rPr>
        <w:tab/>
      </w:r>
      <w:r w:rsidR="00D56927" w:rsidRPr="00D56927">
        <w:rPr>
          <w:rFonts w:asciiTheme="minorHAnsi" w:hAnsiTheme="minorHAnsi" w:cstheme="minorBidi"/>
        </w:rPr>
        <w:t xml:space="preserve">﻿Ali TF, Warkentin LM, Gazala S, Wagg AS, Padwal RS, Khadaroo RG, et al. Self-Reported Outcomes in Individuals Aged 65 and Older Admitted for Treatment to an Acute Care Surgical Service: A 6-Month Prospective Cohort Study. </w:t>
      </w:r>
      <w:r w:rsidR="00D56927" w:rsidRPr="00CB6A96">
        <w:rPr>
          <w:rFonts w:asciiTheme="minorHAnsi" w:hAnsiTheme="minorHAnsi" w:cstheme="minorBidi"/>
          <w:i/>
        </w:rPr>
        <w:t xml:space="preserve">J Am Geriatr Soc </w:t>
      </w:r>
      <w:r w:rsidR="00D56927" w:rsidRPr="00D56927">
        <w:rPr>
          <w:rFonts w:asciiTheme="minorHAnsi" w:hAnsiTheme="minorHAnsi" w:cstheme="minorBidi"/>
        </w:rPr>
        <w:t>2015 Nov 1;63(11):2388–94</w:t>
      </w:r>
    </w:p>
    <w:p w14:paraId="0C4A1D16" w14:textId="3749F4B2" w:rsidR="009C72F8" w:rsidRDefault="009C72F8" w:rsidP="00B86E8C">
      <w:pPr>
        <w:spacing w:line="360" w:lineRule="auto"/>
        <w:ind w:left="851" w:hanging="851"/>
        <w:rPr>
          <w:rFonts w:asciiTheme="minorHAnsi" w:hAnsiTheme="minorHAnsi" w:cstheme="minorBidi"/>
        </w:rPr>
      </w:pPr>
      <w:r>
        <w:rPr>
          <w:rFonts w:asciiTheme="minorHAnsi" w:hAnsiTheme="minorHAnsi" w:cstheme="minorBidi"/>
        </w:rPr>
        <w:t>151.</w:t>
      </w:r>
      <w:r>
        <w:rPr>
          <w:rFonts w:asciiTheme="minorHAnsi" w:hAnsiTheme="minorHAnsi" w:cstheme="minorBidi"/>
        </w:rPr>
        <w:tab/>
      </w:r>
      <w:r w:rsidRPr="009C72F8">
        <w:rPr>
          <w:rFonts w:asciiTheme="minorHAnsi" w:hAnsiTheme="minorHAnsi" w:cstheme="minorBidi"/>
        </w:rPr>
        <w:t xml:space="preserve">Loures FB, Chaoubah A, Oliveira VM, Almeida AM, Campos EM, Paiva EP. Economic analysis of surgical treatment of hip fracture in older adults. </w:t>
      </w:r>
      <w:r w:rsidRPr="00CB6A96">
        <w:rPr>
          <w:rFonts w:asciiTheme="minorHAnsi" w:hAnsiTheme="minorHAnsi" w:cstheme="minorBidi"/>
          <w:i/>
        </w:rPr>
        <w:t>Rev Saude Publica</w:t>
      </w:r>
      <w:r>
        <w:rPr>
          <w:rFonts w:asciiTheme="minorHAnsi" w:hAnsiTheme="minorHAnsi" w:cstheme="minorBidi"/>
        </w:rPr>
        <w:t xml:space="preserve"> </w:t>
      </w:r>
      <w:r w:rsidRPr="009C72F8">
        <w:rPr>
          <w:rFonts w:asciiTheme="minorHAnsi" w:hAnsiTheme="minorHAnsi" w:cstheme="minorBidi"/>
        </w:rPr>
        <w:t xml:space="preserve">2015;49:12. </w:t>
      </w:r>
    </w:p>
    <w:p w14:paraId="5865D808" w14:textId="4D4E7726" w:rsidR="009C72F8" w:rsidRDefault="009C72F8" w:rsidP="00B86E8C">
      <w:pPr>
        <w:spacing w:line="360" w:lineRule="auto"/>
        <w:ind w:left="851" w:hanging="851"/>
        <w:rPr>
          <w:rFonts w:asciiTheme="minorHAnsi" w:hAnsiTheme="minorHAnsi" w:cstheme="minorBidi"/>
        </w:rPr>
      </w:pPr>
      <w:r>
        <w:rPr>
          <w:rFonts w:asciiTheme="minorHAnsi" w:hAnsiTheme="minorHAnsi" w:cstheme="minorBidi"/>
        </w:rPr>
        <w:t>152</w:t>
      </w:r>
      <w:r w:rsidR="007318BC">
        <w:rPr>
          <w:rFonts w:asciiTheme="minorHAnsi" w:hAnsiTheme="minorHAnsi" w:cstheme="minorBidi"/>
        </w:rPr>
        <w:t>.</w:t>
      </w:r>
      <w:r>
        <w:tab/>
      </w:r>
      <w:r w:rsidR="007318BC" w:rsidRPr="007318BC">
        <w:rPr>
          <w:rFonts w:asciiTheme="minorHAnsi" w:hAnsiTheme="minorHAnsi" w:cstheme="minorBidi"/>
        </w:rPr>
        <w:t xml:space="preserve">Iranmanesh P, Frossard JL, Mugnier-Konrad B, Morel P, Majno P, Nguyen-Tang T, et al. Initial cholecystectomy vs sequential common duct endoscopic assessment and subsequent cholecystectomy for suspected gallstone migration: A randomized clinical trial. </w:t>
      </w:r>
      <w:r w:rsidR="007318BC" w:rsidRPr="00CB6A96">
        <w:rPr>
          <w:rFonts w:asciiTheme="minorHAnsi" w:hAnsiTheme="minorHAnsi" w:cstheme="minorBidi"/>
          <w:i/>
        </w:rPr>
        <w:t>JAMA - J Am Med Assoc</w:t>
      </w:r>
      <w:r w:rsidR="007318BC" w:rsidRPr="007318BC">
        <w:rPr>
          <w:rFonts w:asciiTheme="minorHAnsi" w:hAnsiTheme="minorHAnsi" w:cstheme="minorBidi"/>
        </w:rPr>
        <w:t xml:space="preserve"> 2014;312(2):137–44</w:t>
      </w:r>
    </w:p>
    <w:p w14:paraId="3FB417D5" w14:textId="1265B9D2" w:rsidR="005829CC" w:rsidRDefault="005829CC" w:rsidP="00B86E8C">
      <w:pPr>
        <w:spacing w:line="360" w:lineRule="auto"/>
        <w:ind w:left="851" w:hanging="851"/>
        <w:rPr>
          <w:rFonts w:asciiTheme="minorHAnsi" w:hAnsiTheme="minorHAnsi" w:cstheme="minorBidi"/>
        </w:rPr>
      </w:pPr>
      <w:r w:rsidRPr="00CA70FD">
        <w:rPr>
          <w:rFonts w:asciiTheme="minorHAnsi" w:hAnsiTheme="minorHAnsi" w:cstheme="minorBidi"/>
        </w:rPr>
        <w:t>153.</w:t>
      </w:r>
      <w:r>
        <w:tab/>
      </w:r>
      <w:r w:rsidRPr="005829CC">
        <w:rPr>
          <w:rFonts w:asciiTheme="minorHAnsi" w:hAnsiTheme="minorHAnsi" w:cstheme="minorBidi"/>
        </w:rPr>
        <w:t>﻿</w:t>
      </w:r>
      <w:r w:rsidRPr="00CA70FD">
        <w:rPr>
          <w:rFonts w:asciiTheme="minorHAnsi" w:hAnsiTheme="minorHAnsi" w:cstheme="minorBidi"/>
        </w:rPr>
        <w:t xml:space="preserve">Chikuda H, Ohtsu H, Ogata T, Sugita S, Sumitani M, Koyama Y, et al. </w:t>
      </w:r>
      <w:r w:rsidRPr="005829CC">
        <w:rPr>
          <w:rFonts w:asciiTheme="minorHAnsi" w:hAnsiTheme="minorHAnsi" w:cstheme="minorBidi"/>
        </w:rPr>
        <w:t xml:space="preserve">Optimal treatment for Spinal Cord Injury associated with cervical canal Stenosis (OSCIS): a study protocol for a randomized controlled trial comparing early versus delayed surgery. </w:t>
      </w:r>
      <w:r w:rsidRPr="00CB6A96">
        <w:rPr>
          <w:rFonts w:asciiTheme="minorHAnsi" w:hAnsiTheme="minorHAnsi" w:cstheme="minorBidi"/>
          <w:i/>
        </w:rPr>
        <w:t>Trials</w:t>
      </w:r>
      <w:r w:rsidRPr="005829CC">
        <w:rPr>
          <w:rFonts w:asciiTheme="minorHAnsi" w:hAnsiTheme="minorHAnsi" w:cstheme="minorBidi"/>
        </w:rPr>
        <w:t xml:space="preserve"> 2013;14(1):245</w:t>
      </w:r>
    </w:p>
    <w:p w14:paraId="746545F2" w14:textId="317DEBF5" w:rsidR="00C23CC4" w:rsidRDefault="00C23CC4" w:rsidP="00B86E8C">
      <w:pPr>
        <w:spacing w:line="360" w:lineRule="auto"/>
        <w:ind w:left="851" w:hanging="851"/>
        <w:rPr>
          <w:rFonts w:asciiTheme="minorHAnsi" w:hAnsiTheme="minorHAnsi" w:cstheme="minorBidi"/>
        </w:rPr>
      </w:pPr>
      <w:r w:rsidRPr="00CA70FD">
        <w:rPr>
          <w:rFonts w:asciiTheme="minorHAnsi" w:hAnsiTheme="minorHAnsi" w:cstheme="minorBidi"/>
        </w:rPr>
        <w:t>154.</w:t>
      </w:r>
      <w:r>
        <w:tab/>
      </w:r>
      <w:r w:rsidRPr="00C23CC4">
        <w:rPr>
          <w:rFonts w:asciiTheme="minorHAnsi" w:hAnsiTheme="minorHAnsi" w:cstheme="minorBidi"/>
        </w:rPr>
        <w:t>﻿</w:t>
      </w:r>
      <w:r w:rsidRPr="00CA70FD">
        <w:rPr>
          <w:rFonts w:asciiTheme="minorHAnsi" w:hAnsiTheme="minorHAnsi" w:cstheme="minorBidi"/>
        </w:rPr>
        <w:t xml:space="preserve">Ellatif MEA, Askar WA, Abbas AE, Noaman N, Negm A, El-Morsy G, et al. </w:t>
      </w:r>
      <w:r w:rsidRPr="00C23CC4">
        <w:rPr>
          <w:rFonts w:asciiTheme="minorHAnsi" w:hAnsiTheme="minorHAnsi" w:cstheme="minorBidi"/>
        </w:rPr>
        <w:t xml:space="preserve">Quality-of-life measures after single-access versus conventional laparoscopic cholecystectomy: a prospective randomized study. </w:t>
      </w:r>
      <w:r w:rsidRPr="00CB6A96">
        <w:rPr>
          <w:rFonts w:asciiTheme="minorHAnsi" w:hAnsiTheme="minorHAnsi" w:cstheme="minorBidi"/>
          <w:i/>
        </w:rPr>
        <w:t>Surg Endosc</w:t>
      </w:r>
      <w:r w:rsidRPr="00C23CC4">
        <w:rPr>
          <w:rFonts w:asciiTheme="minorHAnsi" w:hAnsiTheme="minorHAnsi" w:cstheme="minorBidi"/>
        </w:rPr>
        <w:t xml:space="preserve"> 2013;27(6):1896–906</w:t>
      </w:r>
    </w:p>
    <w:p w14:paraId="2153250F" w14:textId="5112B874" w:rsidR="005162F0" w:rsidRDefault="001027A8" w:rsidP="00B86E8C">
      <w:pPr>
        <w:spacing w:line="360" w:lineRule="auto"/>
        <w:ind w:left="851" w:hanging="851"/>
        <w:rPr>
          <w:rFonts w:asciiTheme="minorHAnsi" w:hAnsiTheme="minorHAnsi" w:cstheme="minorBidi"/>
        </w:rPr>
      </w:pPr>
      <w:r>
        <w:rPr>
          <w:rFonts w:asciiTheme="minorHAnsi" w:hAnsiTheme="minorHAnsi" w:cstheme="minorBidi"/>
        </w:rPr>
        <w:t>155.</w:t>
      </w:r>
      <w:r>
        <w:rPr>
          <w:rFonts w:asciiTheme="minorHAnsi" w:hAnsiTheme="minorHAnsi" w:cstheme="minorBidi"/>
        </w:rPr>
        <w:tab/>
      </w:r>
      <w:r w:rsidRPr="001027A8">
        <w:rPr>
          <w:rFonts w:asciiTheme="minorHAnsi" w:hAnsiTheme="minorHAnsi" w:cstheme="minorBidi"/>
        </w:rPr>
        <w:t xml:space="preserve">Wagner MJ, Kern H, Hapfelmeier A, Mehler J, Schoenberg MH. Single-port cholecystectomy versus multi-port cholecystectomy: a prospective cohort study with 222 patients. </w:t>
      </w:r>
      <w:r w:rsidRPr="00CB6A96">
        <w:rPr>
          <w:rFonts w:asciiTheme="minorHAnsi" w:hAnsiTheme="minorHAnsi" w:cstheme="minorBidi"/>
          <w:i/>
        </w:rPr>
        <w:t>World J Surg</w:t>
      </w:r>
      <w:r w:rsidRPr="001027A8">
        <w:rPr>
          <w:rFonts w:asciiTheme="minorHAnsi" w:hAnsiTheme="minorHAnsi" w:cstheme="minorBidi"/>
        </w:rPr>
        <w:t xml:space="preserve"> 2013;37(5):991-8</w:t>
      </w:r>
    </w:p>
    <w:p w14:paraId="2F6DAEA6" w14:textId="4CB96FC6" w:rsidR="000D6401" w:rsidRDefault="000D6401" w:rsidP="00B86E8C">
      <w:pPr>
        <w:spacing w:line="360" w:lineRule="auto"/>
        <w:ind w:left="851" w:hanging="851"/>
        <w:rPr>
          <w:rFonts w:asciiTheme="minorHAnsi" w:hAnsiTheme="minorHAnsi" w:cstheme="minorBidi"/>
        </w:rPr>
      </w:pPr>
      <w:r>
        <w:rPr>
          <w:rFonts w:asciiTheme="minorHAnsi" w:hAnsiTheme="minorHAnsi" w:cstheme="minorBidi"/>
        </w:rPr>
        <w:t>15</w:t>
      </w:r>
      <w:r w:rsidR="000C0E03">
        <w:rPr>
          <w:rFonts w:asciiTheme="minorHAnsi" w:hAnsiTheme="minorHAnsi" w:cstheme="minorBidi"/>
        </w:rPr>
        <w:t>6</w:t>
      </w:r>
      <w:r>
        <w:rPr>
          <w:rFonts w:asciiTheme="minorHAnsi" w:hAnsiTheme="minorHAnsi" w:cstheme="minorBidi"/>
        </w:rPr>
        <w:t>.</w:t>
      </w:r>
      <w:r>
        <w:rPr>
          <w:rFonts w:asciiTheme="minorHAnsi" w:hAnsiTheme="minorHAnsi" w:cstheme="minorBidi"/>
        </w:rPr>
        <w:tab/>
      </w:r>
      <w:r w:rsidRPr="000D6401">
        <w:rPr>
          <w:rFonts w:asciiTheme="minorHAnsi" w:hAnsiTheme="minorHAnsi" w:cstheme="minorBidi"/>
        </w:rPr>
        <w:t xml:space="preserve">Mendelow AD, Gregson BA, Mitchell PM, et al. Surgical trial in lobar intracerebral haemorrhage (STICH II) protocol. </w:t>
      </w:r>
      <w:r w:rsidRPr="00CB6A96">
        <w:rPr>
          <w:rFonts w:asciiTheme="minorHAnsi" w:hAnsiTheme="minorHAnsi" w:cstheme="minorBidi"/>
          <w:i/>
        </w:rPr>
        <w:t>Trials</w:t>
      </w:r>
      <w:r w:rsidRPr="000D6401">
        <w:rPr>
          <w:rFonts w:asciiTheme="minorHAnsi" w:hAnsiTheme="minorHAnsi" w:cstheme="minorBidi"/>
        </w:rPr>
        <w:t xml:space="preserve"> 2011;12:124</w:t>
      </w:r>
    </w:p>
    <w:p w14:paraId="19E003D3" w14:textId="34087D36" w:rsidR="006979DE" w:rsidRPr="00404610" w:rsidRDefault="006979DE" w:rsidP="00B86E8C">
      <w:pPr>
        <w:spacing w:line="360" w:lineRule="auto"/>
        <w:ind w:left="851" w:hanging="851"/>
        <w:rPr>
          <w:rFonts w:asciiTheme="minorHAnsi" w:hAnsiTheme="minorHAnsi" w:cstheme="minorBidi"/>
          <w:lang w:val="nl-NL"/>
        </w:rPr>
      </w:pPr>
      <w:r>
        <w:rPr>
          <w:rFonts w:asciiTheme="minorHAnsi" w:hAnsiTheme="minorHAnsi" w:cstheme="minorBidi"/>
        </w:rPr>
        <w:t>15</w:t>
      </w:r>
      <w:r w:rsidR="00C32F2F">
        <w:rPr>
          <w:rFonts w:asciiTheme="minorHAnsi" w:hAnsiTheme="minorHAnsi" w:cstheme="minorBidi"/>
        </w:rPr>
        <w:t>7</w:t>
      </w:r>
      <w:r w:rsidR="008E2843">
        <w:rPr>
          <w:rFonts w:asciiTheme="minorHAnsi" w:hAnsiTheme="minorHAnsi" w:cstheme="minorBidi"/>
        </w:rPr>
        <w:t>.</w:t>
      </w:r>
      <w:r>
        <w:rPr>
          <w:rFonts w:asciiTheme="minorHAnsi" w:hAnsiTheme="minorHAnsi" w:cstheme="minorBidi"/>
        </w:rPr>
        <w:tab/>
      </w:r>
      <w:r w:rsidRPr="006979DE">
        <w:rPr>
          <w:rFonts w:asciiTheme="minorHAnsi" w:hAnsiTheme="minorHAnsi" w:cstheme="minorBidi"/>
        </w:rPr>
        <w:t xml:space="preserve">﻿Van Den Hout WB, Peul WC, Koes BW, Brand R, Kievit J, Thomeer RTWM. Prolonged conservative care versus early surgery in patients with sciatica from lumbar disc herniation: Cost utility analysis alongside a randomised controlled trial. </w:t>
      </w:r>
      <w:r w:rsidRPr="00404610">
        <w:rPr>
          <w:rFonts w:asciiTheme="minorHAnsi" w:hAnsiTheme="minorHAnsi" w:cstheme="minorBidi"/>
          <w:i/>
          <w:lang w:val="nl-NL"/>
        </w:rPr>
        <w:t>B</w:t>
      </w:r>
      <w:r w:rsidR="000A4F54" w:rsidRPr="00404610">
        <w:rPr>
          <w:rFonts w:asciiTheme="minorHAnsi" w:hAnsiTheme="minorHAnsi" w:cstheme="minorBidi"/>
          <w:i/>
          <w:lang w:val="nl-NL"/>
        </w:rPr>
        <w:t>MJ</w:t>
      </w:r>
      <w:r w:rsidRPr="00404610">
        <w:rPr>
          <w:rFonts w:asciiTheme="minorHAnsi" w:hAnsiTheme="minorHAnsi" w:cstheme="minorBidi"/>
          <w:lang w:val="nl-NL"/>
        </w:rPr>
        <w:t xml:space="preserve"> 2008;336(7657):1351–4</w:t>
      </w:r>
    </w:p>
    <w:p w14:paraId="6BA6B132" w14:textId="6F4DADDB" w:rsidR="00B70FA0" w:rsidRDefault="00B70FA0" w:rsidP="00B86E8C">
      <w:pPr>
        <w:spacing w:line="360" w:lineRule="auto"/>
        <w:ind w:left="851" w:hanging="851"/>
        <w:rPr>
          <w:rFonts w:asciiTheme="minorHAnsi" w:hAnsiTheme="minorHAnsi" w:cstheme="minorBidi"/>
        </w:rPr>
      </w:pPr>
      <w:r w:rsidRPr="00404610">
        <w:rPr>
          <w:rFonts w:asciiTheme="minorHAnsi" w:hAnsiTheme="minorHAnsi" w:cstheme="minorBidi"/>
          <w:lang w:val="nl-NL"/>
        </w:rPr>
        <w:t>15</w:t>
      </w:r>
      <w:r w:rsidR="00C32F2F" w:rsidRPr="00404610">
        <w:rPr>
          <w:rFonts w:asciiTheme="minorHAnsi" w:hAnsiTheme="minorHAnsi" w:cstheme="minorBidi"/>
          <w:lang w:val="nl-NL"/>
        </w:rPr>
        <w:t>8</w:t>
      </w:r>
      <w:r w:rsidRPr="00404610">
        <w:rPr>
          <w:rFonts w:asciiTheme="minorHAnsi" w:hAnsiTheme="minorHAnsi" w:cstheme="minorBidi"/>
          <w:lang w:val="nl-NL"/>
        </w:rPr>
        <w:t>.</w:t>
      </w:r>
      <w:r w:rsidRPr="00404610">
        <w:rPr>
          <w:lang w:val="nl-NL"/>
        </w:rPr>
        <w:tab/>
      </w:r>
      <w:r w:rsidRPr="00404610">
        <w:rPr>
          <w:rFonts w:asciiTheme="minorHAnsi" w:hAnsiTheme="minorHAnsi" w:cstheme="minorBidi"/>
          <w:lang w:val="nl-NL"/>
        </w:rPr>
        <w:t xml:space="preserve">van Hooft JE, Bemelman WA, Breumelhof R, et al. </w:t>
      </w:r>
      <w:r w:rsidRPr="00B70FA0">
        <w:rPr>
          <w:rFonts w:asciiTheme="minorHAnsi" w:hAnsiTheme="minorHAnsi" w:cstheme="minorBidi"/>
        </w:rPr>
        <w:t xml:space="preserve">Colonic stenting as bridge to surgery versus emergency surgery for management of acute left-sided malignant colonic obstruction: a multicenter randomized trial (Stent-in 2 study). </w:t>
      </w:r>
      <w:r w:rsidRPr="00CB6A96">
        <w:rPr>
          <w:rFonts w:asciiTheme="minorHAnsi" w:hAnsiTheme="minorHAnsi" w:cstheme="minorBidi"/>
          <w:i/>
        </w:rPr>
        <w:t>BMC surg</w:t>
      </w:r>
      <w:r w:rsidRPr="00B70FA0">
        <w:rPr>
          <w:rFonts w:asciiTheme="minorHAnsi" w:hAnsiTheme="minorHAnsi" w:cstheme="minorBidi"/>
        </w:rPr>
        <w:t xml:space="preserve"> 2007;7:12</w:t>
      </w:r>
    </w:p>
    <w:p w14:paraId="6E854DA0" w14:textId="14015541" w:rsidR="00B129BA" w:rsidRDefault="00B129BA" w:rsidP="00B86E8C">
      <w:pPr>
        <w:spacing w:line="360" w:lineRule="auto"/>
        <w:ind w:left="851" w:hanging="851"/>
        <w:rPr>
          <w:rFonts w:asciiTheme="minorHAnsi" w:hAnsiTheme="minorHAnsi" w:cstheme="minorBidi"/>
        </w:rPr>
      </w:pPr>
      <w:r>
        <w:rPr>
          <w:rFonts w:asciiTheme="minorHAnsi" w:hAnsiTheme="minorHAnsi" w:cstheme="minorBidi"/>
        </w:rPr>
        <w:t>15</w:t>
      </w:r>
      <w:r w:rsidR="00C32F2F">
        <w:rPr>
          <w:rFonts w:asciiTheme="minorHAnsi" w:hAnsiTheme="minorHAnsi" w:cstheme="minorBidi"/>
        </w:rPr>
        <w:t>9</w:t>
      </w:r>
      <w:r>
        <w:rPr>
          <w:rFonts w:asciiTheme="minorHAnsi" w:hAnsiTheme="minorHAnsi" w:cstheme="minorBidi"/>
        </w:rPr>
        <w:t>.</w:t>
      </w:r>
      <w:r>
        <w:tab/>
      </w:r>
      <w:r w:rsidRPr="00B129BA">
        <w:rPr>
          <w:rFonts w:asciiTheme="minorHAnsi" w:hAnsiTheme="minorHAnsi" w:cstheme="minorBidi"/>
        </w:rPr>
        <w:t xml:space="preserve">Nilsson E, Ros A, Rahmqvist M, Backman K, Carlsson P. Cholecystectomy: costs and health-related quality of life: a comparison of two techniques. </w:t>
      </w:r>
      <w:r w:rsidRPr="00CB6A96">
        <w:rPr>
          <w:rFonts w:asciiTheme="minorHAnsi" w:hAnsiTheme="minorHAnsi" w:cstheme="minorBidi"/>
          <w:i/>
        </w:rPr>
        <w:t>Int J Qual Health Care</w:t>
      </w:r>
      <w:r>
        <w:rPr>
          <w:rFonts w:asciiTheme="minorHAnsi" w:hAnsiTheme="minorHAnsi" w:cstheme="minorBidi"/>
        </w:rPr>
        <w:t xml:space="preserve"> </w:t>
      </w:r>
      <w:r w:rsidRPr="00B129BA">
        <w:rPr>
          <w:rFonts w:asciiTheme="minorHAnsi" w:hAnsiTheme="minorHAnsi" w:cstheme="minorBidi"/>
        </w:rPr>
        <w:t>2004;16(6):473-82</w:t>
      </w:r>
    </w:p>
    <w:p w14:paraId="24952DA1" w14:textId="4E5D8488" w:rsidR="00BD38D7" w:rsidRPr="00404610" w:rsidRDefault="00BD38D7" w:rsidP="00B86E8C">
      <w:pPr>
        <w:spacing w:line="360" w:lineRule="auto"/>
        <w:ind w:left="851" w:hanging="851"/>
        <w:rPr>
          <w:rFonts w:asciiTheme="minorHAnsi" w:hAnsiTheme="minorHAnsi" w:cstheme="minorBidi"/>
          <w:lang w:val="es-ES"/>
        </w:rPr>
      </w:pPr>
      <w:r>
        <w:rPr>
          <w:rFonts w:asciiTheme="minorHAnsi" w:hAnsiTheme="minorHAnsi" w:cstheme="minorBidi"/>
        </w:rPr>
        <w:t>1</w:t>
      </w:r>
      <w:r w:rsidR="00C32F2F">
        <w:rPr>
          <w:rFonts w:asciiTheme="minorHAnsi" w:hAnsiTheme="minorHAnsi" w:cstheme="minorBidi"/>
        </w:rPr>
        <w:t>60</w:t>
      </w:r>
      <w:r>
        <w:rPr>
          <w:rFonts w:asciiTheme="minorHAnsi" w:hAnsiTheme="minorHAnsi" w:cstheme="minorBidi"/>
        </w:rPr>
        <w:t>.</w:t>
      </w:r>
      <w:r>
        <w:tab/>
      </w:r>
      <w:r w:rsidRPr="00BD38D7">
        <w:rPr>
          <w:rFonts w:asciiTheme="minorHAnsi" w:hAnsiTheme="minorHAnsi" w:cstheme="minorBidi"/>
        </w:rPr>
        <w:t xml:space="preserve">Ainslie WG, Catton JA, Davides D, et al. Micropuncture cholecystectomy vs conventional laparoscopic cholecystectomy: a randomized controlled trial. </w:t>
      </w:r>
      <w:r w:rsidRPr="00404610">
        <w:rPr>
          <w:rFonts w:asciiTheme="minorHAnsi" w:hAnsiTheme="minorHAnsi" w:cstheme="minorBidi"/>
          <w:i/>
          <w:lang w:val="es-ES"/>
        </w:rPr>
        <w:t>Surg Endosc</w:t>
      </w:r>
      <w:r w:rsidRPr="00404610">
        <w:rPr>
          <w:rFonts w:asciiTheme="minorHAnsi" w:hAnsiTheme="minorHAnsi" w:cstheme="minorBidi"/>
          <w:lang w:val="es-ES"/>
        </w:rPr>
        <w:t xml:space="preserve"> 2003;17(5):766-72</w:t>
      </w:r>
    </w:p>
    <w:p w14:paraId="472EC6DF" w14:textId="72C86D7E" w:rsidR="00FA5AC7" w:rsidRDefault="00FA5AC7" w:rsidP="00B86E8C">
      <w:pPr>
        <w:spacing w:line="360" w:lineRule="auto"/>
        <w:ind w:left="851" w:hanging="851"/>
        <w:rPr>
          <w:rFonts w:asciiTheme="minorHAnsi" w:hAnsiTheme="minorHAnsi" w:cstheme="minorBidi"/>
        </w:rPr>
      </w:pPr>
      <w:r w:rsidRPr="00CB6A96">
        <w:rPr>
          <w:rFonts w:asciiTheme="minorHAnsi" w:hAnsiTheme="minorHAnsi" w:cstheme="minorBidi"/>
          <w:lang w:val="es-ES"/>
        </w:rPr>
        <w:t>161.</w:t>
      </w:r>
      <w:r w:rsidRPr="00404610">
        <w:rPr>
          <w:lang w:val="es-ES"/>
        </w:rPr>
        <w:tab/>
      </w:r>
      <w:r w:rsidRPr="00FA5AC7">
        <w:rPr>
          <w:rFonts w:asciiTheme="minorHAnsi" w:hAnsiTheme="minorHAnsi" w:cstheme="minorBidi"/>
        </w:rPr>
        <w:t>﻿</w:t>
      </w:r>
      <w:r w:rsidRPr="00F07E8B">
        <w:rPr>
          <w:rFonts w:asciiTheme="minorHAnsi" w:hAnsiTheme="minorHAnsi" w:cstheme="minorBidi"/>
          <w:lang w:val="es-ES"/>
        </w:rPr>
        <w:t>LeBlanc KA, Gonzalez</w:t>
      </w:r>
      <w:r w:rsidRPr="00CB6A96">
        <w:rPr>
          <w:rFonts w:asciiTheme="minorHAnsi" w:hAnsiTheme="minorHAnsi" w:cstheme="minorBidi"/>
          <w:lang w:val="es-ES"/>
        </w:rPr>
        <w:t xml:space="preserve"> A, Dickens E, Olsofka J, Ortiz-Ortiz C, Verdeja J-C, et al. </w:t>
      </w:r>
      <w:r w:rsidRPr="00FA5AC7">
        <w:rPr>
          <w:rFonts w:asciiTheme="minorHAnsi" w:hAnsiTheme="minorHAnsi" w:cstheme="minorBidi"/>
        </w:rPr>
        <w:t xml:space="preserve">Robotic-assisted, laparoscopic, and open incisional hernia repair: early outcomes from the Prospective Hernia Study. </w:t>
      </w:r>
      <w:r w:rsidRPr="00CB6A96">
        <w:rPr>
          <w:rFonts w:asciiTheme="minorHAnsi" w:hAnsiTheme="minorHAnsi" w:cstheme="minorBidi"/>
          <w:i/>
        </w:rPr>
        <w:t>Hernia</w:t>
      </w:r>
      <w:r>
        <w:rPr>
          <w:rFonts w:asciiTheme="minorHAnsi" w:hAnsiTheme="minorHAnsi" w:cstheme="minorBidi"/>
        </w:rPr>
        <w:t xml:space="preserve"> </w:t>
      </w:r>
      <w:r w:rsidRPr="00FA5AC7">
        <w:rPr>
          <w:rFonts w:asciiTheme="minorHAnsi" w:hAnsiTheme="minorHAnsi" w:cstheme="minorBidi"/>
        </w:rPr>
        <w:t>2021;25(4):1071–82</w:t>
      </w:r>
    </w:p>
    <w:p w14:paraId="1E3B5E4A" w14:textId="41F18C02" w:rsidR="00D56927" w:rsidRDefault="00D3183A" w:rsidP="00B86E8C">
      <w:pPr>
        <w:spacing w:line="360" w:lineRule="auto"/>
        <w:ind w:left="851" w:hanging="851"/>
        <w:rPr>
          <w:rFonts w:asciiTheme="minorHAnsi" w:hAnsiTheme="minorHAnsi" w:cstheme="minorBidi"/>
        </w:rPr>
      </w:pPr>
      <w:r w:rsidRPr="00CA70FD">
        <w:rPr>
          <w:rFonts w:asciiTheme="minorHAnsi" w:hAnsiTheme="minorHAnsi" w:cstheme="minorBidi"/>
        </w:rPr>
        <w:t>162.</w:t>
      </w:r>
      <w:r w:rsidRPr="00CA70FD">
        <w:rPr>
          <w:rFonts w:asciiTheme="minorHAnsi" w:hAnsiTheme="minorHAnsi" w:cstheme="minorBidi"/>
        </w:rPr>
        <w:tab/>
        <w:t xml:space="preserve">Asencio F, Carbó J, Ferri R, et al. </w:t>
      </w:r>
      <w:r w:rsidRPr="00D3183A">
        <w:rPr>
          <w:rFonts w:asciiTheme="minorHAnsi" w:hAnsiTheme="minorHAnsi" w:cstheme="minorBidi"/>
        </w:rPr>
        <w:t xml:space="preserve">Laparoscopic Versus Open Incisional Hernia Repair: Long-Term Follow-up Results of a Randomized Clinical Trial. </w:t>
      </w:r>
      <w:r w:rsidRPr="00CB6A96">
        <w:rPr>
          <w:rFonts w:asciiTheme="minorHAnsi" w:hAnsiTheme="minorHAnsi" w:cstheme="minorBidi"/>
          <w:i/>
        </w:rPr>
        <w:t>World J Surg</w:t>
      </w:r>
      <w:r w:rsidRPr="00D3183A">
        <w:rPr>
          <w:rFonts w:asciiTheme="minorHAnsi" w:hAnsiTheme="minorHAnsi" w:cstheme="minorBidi"/>
        </w:rPr>
        <w:t xml:space="preserve"> 2021;45(9):2734-2741</w:t>
      </w:r>
    </w:p>
    <w:p w14:paraId="163C943D" w14:textId="7DA17865" w:rsidR="003D3C10" w:rsidRDefault="000C0E55" w:rsidP="00B86E8C">
      <w:pPr>
        <w:spacing w:line="360" w:lineRule="auto"/>
        <w:ind w:left="851" w:hanging="851"/>
        <w:rPr>
          <w:rFonts w:asciiTheme="minorHAnsi" w:hAnsiTheme="minorHAnsi" w:cstheme="minorBidi"/>
        </w:rPr>
      </w:pPr>
      <w:r>
        <w:rPr>
          <w:rFonts w:asciiTheme="minorHAnsi" w:hAnsiTheme="minorHAnsi" w:cstheme="minorBidi"/>
        </w:rPr>
        <w:t>163.</w:t>
      </w:r>
      <w:r>
        <w:tab/>
      </w:r>
      <w:r w:rsidRPr="000C0E55">
        <w:rPr>
          <w:rFonts w:asciiTheme="minorHAnsi" w:hAnsiTheme="minorHAnsi" w:cstheme="minorBidi"/>
        </w:rPr>
        <w:t xml:space="preserve">Susmallian S, Barnea R, Ponomarenko O. Laparoscopic Total Extraperitoneal Repair and Open Prolene Hernia System for Inguinal Hernia Repair Have Similar Outcomes: A Retrospective Study. </w:t>
      </w:r>
      <w:r w:rsidRPr="00CB6A96">
        <w:rPr>
          <w:rFonts w:asciiTheme="minorHAnsi" w:hAnsiTheme="minorHAnsi" w:cstheme="minorBidi"/>
          <w:i/>
        </w:rPr>
        <w:t>Chirurgia (Bucur)</w:t>
      </w:r>
      <w:r w:rsidRPr="000C0E55">
        <w:rPr>
          <w:rFonts w:asciiTheme="minorHAnsi" w:hAnsiTheme="minorHAnsi" w:cstheme="minorBidi"/>
        </w:rPr>
        <w:t xml:space="preserve"> 2021;116(3):271-283</w:t>
      </w:r>
    </w:p>
    <w:p w14:paraId="03B00AE9" w14:textId="3C30B1EC" w:rsidR="000C0E55" w:rsidRDefault="000C0E55" w:rsidP="00B86E8C">
      <w:pPr>
        <w:spacing w:line="360" w:lineRule="auto"/>
        <w:ind w:left="851" w:hanging="851"/>
        <w:rPr>
          <w:rFonts w:asciiTheme="minorHAnsi" w:hAnsiTheme="minorHAnsi" w:cstheme="minorBidi"/>
        </w:rPr>
      </w:pPr>
      <w:r>
        <w:rPr>
          <w:rFonts w:asciiTheme="minorHAnsi" w:hAnsiTheme="minorHAnsi" w:cstheme="minorBidi"/>
        </w:rPr>
        <w:t>164.</w:t>
      </w:r>
      <w:r>
        <w:rPr>
          <w:rFonts w:asciiTheme="minorHAnsi" w:hAnsiTheme="minorHAnsi" w:cstheme="minorBidi"/>
        </w:rPr>
        <w:tab/>
      </w:r>
      <w:r w:rsidR="00EF28E3" w:rsidRPr="00EF28E3">
        <w:rPr>
          <w:rFonts w:asciiTheme="minorHAnsi" w:hAnsiTheme="minorHAnsi" w:cstheme="minorBidi"/>
        </w:rPr>
        <w:t xml:space="preserve">Singh S, Anand A, Kumar A, et al. A prospective randomised control trial to compare the perioperative outcomes and ergonomic challenges between triangular versus midline port placement in total extra-peritoneal repair of uncomplicated unilateral inguinal hernia [published correction appears in Surg Endosc. 2020 Jun 11]. </w:t>
      </w:r>
      <w:r w:rsidR="00EF28E3" w:rsidRPr="00CB6A96">
        <w:rPr>
          <w:rFonts w:asciiTheme="minorHAnsi" w:hAnsiTheme="minorHAnsi" w:cstheme="minorBidi"/>
          <w:i/>
        </w:rPr>
        <w:t>Surg Endosc</w:t>
      </w:r>
      <w:r w:rsidR="00EF28E3" w:rsidRPr="00EF28E3">
        <w:rPr>
          <w:rFonts w:asciiTheme="minorHAnsi" w:hAnsiTheme="minorHAnsi" w:cstheme="minorBidi"/>
        </w:rPr>
        <w:t xml:space="preserve"> 2021;35(3):1395-1404</w:t>
      </w:r>
    </w:p>
    <w:p w14:paraId="5AEEB2F2" w14:textId="4AF8FF07" w:rsidR="00FD1A1C" w:rsidRPr="00404610" w:rsidRDefault="00FD1A1C" w:rsidP="00B86E8C">
      <w:pPr>
        <w:spacing w:line="360" w:lineRule="auto"/>
        <w:ind w:left="851" w:hanging="851"/>
        <w:rPr>
          <w:rFonts w:asciiTheme="minorHAnsi" w:hAnsiTheme="minorHAnsi" w:cstheme="minorBidi"/>
          <w:lang w:val="es-ES"/>
        </w:rPr>
      </w:pPr>
      <w:r>
        <w:rPr>
          <w:rFonts w:asciiTheme="minorHAnsi" w:hAnsiTheme="minorHAnsi" w:cstheme="minorBidi"/>
        </w:rPr>
        <w:t>165.</w:t>
      </w:r>
      <w:r>
        <w:rPr>
          <w:rFonts w:asciiTheme="minorHAnsi" w:hAnsiTheme="minorHAnsi" w:cstheme="minorBidi"/>
        </w:rPr>
        <w:tab/>
      </w:r>
      <w:r w:rsidRPr="00FD1A1C">
        <w:rPr>
          <w:rFonts w:asciiTheme="minorHAnsi" w:hAnsiTheme="minorHAnsi" w:cstheme="minorBidi"/>
        </w:rPr>
        <w:t xml:space="preserve">A Guzman-Pruneda F, Huang LC, Collins C, Renshaw S, Narula V, K Poulose B. Abdominal core quality of life after ventral hernia repair: a comparison of open versus robotic-assisted retromuscular techniques. </w:t>
      </w:r>
      <w:r w:rsidRPr="00404610">
        <w:rPr>
          <w:rFonts w:asciiTheme="minorHAnsi" w:hAnsiTheme="minorHAnsi" w:cstheme="minorBidi"/>
          <w:i/>
          <w:lang w:val="es-ES"/>
        </w:rPr>
        <w:t>Surg Endosc</w:t>
      </w:r>
      <w:r w:rsidRPr="00404610">
        <w:rPr>
          <w:rFonts w:asciiTheme="minorHAnsi" w:hAnsiTheme="minorHAnsi" w:cstheme="minorBidi"/>
          <w:lang w:val="es-ES"/>
        </w:rPr>
        <w:t xml:space="preserve"> 2021;35(1):241-248</w:t>
      </w:r>
    </w:p>
    <w:p w14:paraId="713D6FB6" w14:textId="7A826464" w:rsidR="00FD1A1C" w:rsidRDefault="0035154E" w:rsidP="00B86E8C">
      <w:pPr>
        <w:spacing w:line="360" w:lineRule="auto"/>
        <w:ind w:left="851" w:hanging="851"/>
        <w:rPr>
          <w:rFonts w:asciiTheme="minorHAnsi" w:hAnsiTheme="minorHAnsi" w:cstheme="minorBidi"/>
        </w:rPr>
      </w:pPr>
      <w:r w:rsidRPr="00CB6A96">
        <w:rPr>
          <w:rFonts w:asciiTheme="minorHAnsi" w:hAnsiTheme="minorHAnsi" w:cstheme="minorBidi"/>
          <w:lang w:val="es-ES"/>
        </w:rPr>
        <w:t>166.</w:t>
      </w:r>
      <w:r w:rsidRPr="00404610">
        <w:rPr>
          <w:lang w:val="es-ES"/>
        </w:rPr>
        <w:tab/>
      </w:r>
      <w:r w:rsidRPr="00CB6A96">
        <w:rPr>
          <w:rFonts w:asciiTheme="minorHAnsi" w:hAnsiTheme="minorHAnsi" w:cstheme="minorBidi"/>
          <w:lang w:val="es-ES"/>
        </w:rPr>
        <w:t xml:space="preserve">Greco D, Santori G, Brancato G, et al. </w:t>
      </w:r>
      <w:r w:rsidRPr="0035154E">
        <w:rPr>
          <w:rFonts w:asciiTheme="minorHAnsi" w:hAnsiTheme="minorHAnsi" w:cstheme="minorBidi"/>
        </w:rPr>
        <w:t xml:space="preserve">A new semiresorbable mesh for primary inguinal repair: a preliminary observational study on quality of life and safety. </w:t>
      </w:r>
      <w:r w:rsidRPr="00CB6A96">
        <w:rPr>
          <w:rFonts w:asciiTheme="minorHAnsi" w:hAnsiTheme="minorHAnsi" w:cstheme="minorBidi"/>
          <w:i/>
        </w:rPr>
        <w:t>Hernia</w:t>
      </w:r>
      <w:r>
        <w:rPr>
          <w:rFonts w:asciiTheme="minorHAnsi" w:hAnsiTheme="minorHAnsi" w:cstheme="minorBidi"/>
          <w:i/>
          <w:iCs/>
        </w:rPr>
        <w:t xml:space="preserve"> </w:t>
      </w:r>
      <w:r w:rsidRPr="0035154E">
        <w:rPr>
          <w:rFonts w:asciiTheme="minorHAnsi" w:hAnsiTheme="minorHAnsi" w:cstheme="minorBidi"/>
        </w:rPr>
        <w:t>2020;24(5):1019-1031</w:t>
      </w:r>
    </w:p>
    <w:p w14:paraId="4D4FD3D3" w14:textId="01A4C398" w:rsidR="00D30813" w:rsidRDefault="00D30813" w:rsidP="00B86E8C">
      <w:pPr>
        <w:spacing w:line="360" w:lineRule="auto"/>
        <w:ind w:left="851" w:hanging="851"/>
        <w:rPr>
          <w:rFonts w:asciiTheme="minorHAnsi" w:hAnsiTheme="minorHAnsi" w:cstheme="minorBidi"/>
        </w:rPr>
      </w:pPr>
      <w:r>
        <w:rPr>
          <w:rFonts w:asciiTheme="minorHAnsi" w:hAnsiTheme="minorHAnsi" w:cstheme="minorBidi"/>
        </w:rPr>
        <w:t>167.</w:t>
      </w:r>
      <w:r>
        <w:rPr>
          <w:rFonts w:asciiTheme="minorHAnsi" w:hAnsiTheme="minorHAnsi" w:cstheme="minorBidi"/>
        </w:rPr>
        <w:tab/>
      </w:r>
      <w:r w:rsidRPr="00D30813">
        <w:rPr>
          <w:rFonts w:asciiTheme="minorHAnsi" w:hAnsiTheme="minorHAnsi" w:cstheme="minorBidi"/>
        </w:rPr>
        <w:t xml:space="preserve">Min L, Yong P, Yun L, et al. Propensity score analysis of outcomes between the transabdominal preperitoneal and open Lichtenstein repair techniques for inguinal hernia repair: a single-center experience. </w:t>
      </w:r>
      <w:r w:rsidRPr="00CB6A96">
        <w:rPr>
          <w:rFonts w:asciiTheme="minorHAnsi" w:hAnsiTheme="minorHAnsi" w:cstheme="minorBidi"/>
          <w:i/>
        </w:rPr>
        <w:t>Surg Endosc</w:t>
      </w:r>
      <w:r w:rsidRPr="00D30813">
        <w:rPr>
          <w:rFonts w:asciiTheme="minorHAnsi" w:hAnsiTheme="minorHAnsi" w:cstheme="minorBidi"/>
        </w:rPr>
        <w:t xml:space="preserve"> 2020;34(12):5338-5345</w:t>
      </w:r>
    </w:p>
    <w:p w14:paraId="26109020" w14:textId="3BF057AA" w:rsidR="00D30813" w:rsidRDefault="0013529C" w:rsidP="00B86E8C">
      <w:pPr>
        <w:spacing w:line="360" w:lineRule="auto"/>
        <w:ind w:left="851" w:hanging="851"/>
        <w:rPr>
          <w:rFonts w:asciiTheme="minorHAnsi" w:hAnsiTheme="minorHAnsi" w:cstheme="minorBidi"/>
        </w:rPr>
      </w:pPr>
      <w:r>
        <w:rPr>
          <w:rFonts w:asciiTheme="minorHAnsi" w:hAnsiTheme="minorHAnsi" w:cstheme="minorBidi"/>
        </w:rPr>
        <w:t xml:space="preserve">168. </w:t>
      </w:r>
      <w:r>
        <w:tab/>
      </w:r>
      <w:r w:rsidR="008E79BB" w:rsidRPr="008E79BB">
        <w:rPr>
          <w:rFonts w:asciiTheme="minorHAnsi" w:hAnsiTheme="minorHAnsi" w:cstheme="minorBidi"/>
        </w:rPr>
        <w:t xml:space="preserve">Kaufmann R, Isemer FE, Strey CW, Jeekel J, Lange JF, Woeste G. Non-cross-linked biological mesh in complex abdominal wall hernia: a cohort study. </w:t>
      </w:r>
      <w:r w:rsidR="008E79BB" w:rsidRPr="00CB6A96">
        <w:rPr>
          <w:rFonts w:asciiTheme="minorHAnsi" w:hAnsiTheme="minorHAnsi" w:cstheme="minorBidi"/>
          <w:i/>
        </w:rPr>
        <w:t>Langenbecks Arch Sur</w:t>
      </w:r>
      <w:r w:rsidR="008E79BB" w:rsidRPr="008E79BB">
        <w:rPr>
          <w:rFonts w:asciiTheme="minorHAnsi" w:hAnsiTheme="minorHAnsi" w:cstheme="minorBidi"/>
        </w:rPr>
        <w:t xml:space="preserve"> 2020;405(3):345-352</w:t>
      </w:r>
    </w:p>
    <w:p w14:paraId="247AC5F6" w14:textId="6ADF7C43" w:rsidR="00450BFB" w:rsidRDefault="008E79BB" w:rsidP="00B86E8C">
      <w:pPr>
        <w:spacing w:line="360" w:lineRule="auto"/>
        <w:ind w:left="851" w:hanging="851"/>
        <w:rPr>
          <w:rFonts w:asciiTheme="minorHAnsi" w:hAnsiTheme="minorHAnsi" w:cstheme="minorBidi"/>
        </w:rPr>
      </w:pPr>
      <w:r>
        <w:rPr>
          <w:rFonts w:asciiTheme="minorHAnsi" w:hAnsiTheme="minorHAnsi" w:cstheme="minorBidi"/>
        </w:rPr>
        <w:t>169.</w:t>
      </w:r>
      <w:r w:rsidR="0011121B">
        <w:tab/>
      </w:r>
      <w:r w:rsidR="0032723C" w:rsidRPr="0032723C">
        <w:rPr>
          <w:rFonts w:asciiTheme="minorHAnsi" w:hAnsiTheme="minorHAnsi" w:cstheme="minorBidi"/>
        </w:rPr>
        <w:t xml:space="preserve">He J, Xu YJ, Sun P, Wang J, Yang CG. The incidence and analysis of ipsilateral occult hernia in patients undergoing hernia repair: a single institution retrospective study of 1066 patients. </w:t>
      </w:r>
      <w:r w:rsidR="0032723C" w:rsidRPr="00CB6A96">
        <w:rPr>
          <w:rFonts w:asciiTheme="minorHAnsi" w:hAnsiTheme="minorHAnsi" w:cstheme="minorBidi"/>
          <w:i/>
          <w:u w:val="single"/>
        </w:rPr>
        <w:t>BMC Surg</w:t>
      </w:r>
      <w:r w:rsidR="0032723C" w:rsidRPr="0032723C">
        <w:rPr>
          <w:rFonts w:asciiTheme="minorHAnsi" w:hAnsiTheme="minorHAnsi" w:cstheme="minorBidi"/>
        </w:rPr>
        <w:t xml:space="preserve"> 2021;21(1):182</w:t>
      </w:r>
    </w:p>
    <w:p w14:paraId="1B49522A" w14:textId="73773BD1" w:rsidR="007D214E" w:rsidRPr="00404610" w:rsidRDefault="007D214E" w:rsidP="00B86E8C">
      <w:pPr>
        <w:spacing w:line="360" w:lineRule="auto"/>
        <w:ind w:left="851" w:hanging="851"/>
        <w:rPr>
          <w:rFonts w:asciiTheme="minorHAnsi" w:hAnsiTheme="minorHAnsi" w:cstheme="minorBidi"/>
          <w:lang w:val="nl-NL"/>
        </w:rPr>
      </w:pPr>
      <w:r>
        <w:rPr>
          <w:rFonts w:asciiTheme="minorHAnsi" w:hAnsiTheme="minorHAnsi" w:cstheme="minorBidi"/>
        </w:rPr>
        <w:t>170.</w:t>
      </w:r>
      <w:r>
        <w:tab/>
      </w:r>
      <w:r w:rsidRPr="007D214E">
        <w:rPr>
          <w:rFonts w:asciiTheme="minorHAnsi" w:hAnsiTheme="minorHAnsi" w:cstheme="minorBidi"/>
        </w:rPr>
        <w:t xml:space="preserve">Prabhu AS, Carbonell A, Hope W, et al. Robotic Inguinal vs Transabdominal Laparoscopic Inguinal Hernia Repair: The RIVAL Randomized Clinical Trial. </w:t>
      </w:r>
      <w:r w:rsidRPr="00404610">
        <w:rPr>
          <w:rFonts w:asciiTheme="minorHAnsi" w:hAnsiTheme="minorHAnsi" w:cstheme="minorBidi"/>
          <w:i/>
          <w:lang w:val="nl-NL"/>
        </w:rPr>
        <w:t xml:space="preserve">JAMA Surg </w:t>
      </w:r>
      <w:r w:rsidRPr="00404610">
        <w:rPr>
          <w:rFonts w:asciiTheme="minorHAnsi" w:hAnsiTheme="minorHAnsi" w:cstheme="minorBidi"/>
          <w:lang w:val="nl-NL"/>
        </w:rPr>
        <w:t>2020;155(5):380-387</w:t>
      </w:r>
    </w:p>
    <w:p w14:paraId="4111117E" w14:textId="4E9FAC95" w:rsidR="007D214E" w:rsidRDefault="007D214E" w:rsidP="00B86E8C">
      <w:pPr>
        <w:spacing w:line="360" w:lineRule="auto"/>
        <w:ind w:left="851" w:hanging="851"/>
        <w:rPr>
          <w:rFonts w:asciiTheme="minorHAnsi" w:hAnsiTheme="minorHAnsi" w:cstheme="minorBidi"/>
        </w:rPr>
      </w:pPr>
      <w:r w:rsidRPr="00404610">
        <w:rPr>
          <w:rFonts w:asciiTheme="minorHAnsi" w:hAnsiTheme="minorHAnsi" w:cstheme="minorBidi"/>
          <w:lang w:val="nl-NL"/>
        </w:rPr>
        <w:t>171</w:t>
      </w:r>
      <w:r w:rsidR="00147FA3" w:rsidRPr="00404610">
        <w:rPr>
          <w:rFonts w:asciiTheme="minorHAnsi" w:hAnsiTheme="minorHAnsi" w:cstheme="minorBidi"/>
          <w:lang w:val="nl-NL"/>
        </w:rPr>
        <w:t>.</w:t>
      </w:r>
      <w:r w:rsidR="00147FA3" w:rsidRPr="00404610">
        <w:rPr>
          <w:lang w:val="nl-NL"/>
        </w:rPr>
        <w:tab/>
      </w:r>
      <w:r w:rsidR="00147FA3" w:rsidRPr="00404610">
        <w:rPr>
          <w:rFonts w:asciiTheme="minorHAnsi" w:hAnsiTheme="minorHAnsi" w:cstheme="minorBidi"/>
          <w:lang w:val="nl-NL"/>
        </w:rPr>
        <w:t xml:space="preserve">van Rooijen MM, Jairam AP, Tollens T, et al. </w:t>
      </w:r>
      <w:r w:rsidR="00147FA3" w:rsidRPr="00147FA3">
        <w:rPr>
          <w:rFonts w:asciiTheme="minorHAnsi" w:hAnsiTheme="minorHAnsi" w:cstheme="minorBidi"/>
        </w:rPr>
        <w:t xml:space="preserve">Outcomes of a new slowly resorbable biosynthetic mesh (Phasix™) in potentially contaminated incisional hernias: A prospective, multi-center, single-arm trial. </w:t>
      </w:r>
      <w:r w:rsidR="00147FA3" w:rsidRPr="00CB6A96">
        <w:rPr>
          <w:rFonts w:asciiTheme="minorHAnsi" w:hAnsiTheme="minorHAnsi" w:cstheme="minorBidi"/>
          <w:i/>
        </w:rPr>
        <w:t>Int J Surg</w:t>
      </w:r>
      <w:r w:rsidR="00147FA3" w:rsidRPr="00147FA3">
        <w:rPr>
          <w:rFonts w:asciiTheme="minorHAnsi" w:hAnsiTheme="minorHAnsi" w:cstheme="minorBidi"/>
        </w:rPr>
        <w:t xml:space="preserve"> 2020;83:31-36</w:t>
      </w:r>
    </w:p>
    <w:p w14:paraId="24543A7D" w14:textId="3389DFDB" w:rsidR="009D6C9F" w:rsidRDefault="009D6C9F" w:rsidP="00B86E8C">
      <w:pPr>
        <w:spacing w:line="360" w:lineRule="auto"/>
        <w:ind w:left="851" w:hanging="851"/>
        <w:rPr>
          <w:rFonts w:asciiTheme="minorHAnsi" w:hAnsiTheme="minorHAnsi" w:cstheme="minorBidi"/>
        </w:rPr>
      </w:pPr>
      <w:r>
        <w:rPr>
          <w:rFonts w:asciiTheme="minorHAnsi" w:hAnsiTheme="minorHAnsi" w:cstheme="minorBidi"/>
        </w:rPr>
        <w:t>172.</w:t>
      </w:r>
      <w:r>
        <w:rPr>
          <w:rFonts w:asciiTheme="minorHAnsi" w:hAnsiTheme="minorHAnsi" w:cstheme="minorBidi"/>
        </w:rPr>
        <w:tab/>
      </w:r>
      <w:r w:rsidRPr="009D6C9F">
        <w:rPr>
          <w:rFonts w:asciiTheme="minorHAnsi" w:hAnsiTheme="minorHAnsi" w:cstheme="minorBidi"/>
        </w:rPr>
        <w:t xml:space="preserve">Langenbach MR, Enz D. Mesh fixation in open IPOM procedure with tackers or sutures? A randomized clinical trial with preliminary results. </w:t>
      </w:r>
      <w:r w:rsidRPr="00CB6A96">
        <w:rPr>
          <w:rFonts w:asciiTheme="minorHAnsi" w:hAnsiTheme="minorHAnsi" w:cstheme="minorBidi"/>
          <w:i/>
        </w:rPr>
        <w:t>Hernia</w:t>
      </w:r>
      <w:r w:rsidRPr="009D6C9F">
        <w:rPr>
          <w:rFonts w:asciiTheme="minorHAnsi" w:hAnsiTheme="minorHAnsi" w:cstheme="minorBidi"/>
        </w:rPr>
        <w:t xml:space="preserve"> 2020;24(1):79-84</w:t>
      </w:r>
    </w:p>
    <w:p w14:paraId="77B55681" w14:textId="05E261E3" w:rsidR="00FD2494" w:rsidRDefault="00FD2494" w:rsidP="00B86E8C">
      <w:pPr>
        <w:spacing w:line="360" w:lineRule="auto"/>
        <w:ind w:left="851" w:hanging="851"/>
        <w:rPr>
          <w:rFonts w:asciiTheme="minorHAnsi" w:hAnsiTheme="minorHAnsi" w:cstheme="minorBidi"/>
        </w:rPr>
      </w:pPr>
      <w:r>
        <w:rPr>
          <w:rFonts w:asciiTheme="minorHAnsi" w:hAnsiTheme="minorHAnsi" w:cstheme="minorBidi"/>
        </w:rPr>
        <w:t>173.</w:t>
      </w:r>
      <w:r>
        <w:rPr>
          <w:rFonts w:asciiTheme="minorHAnsi" w:hAnsiTheme="minorHAnsi" w:cstheme="minorBidi"/>
        </w:rPr>
        <w:tab/>
      </w:r>
      <w:r w:rsidRPr="00FD2494">
        <w:rPr>
          <w:rFonts w:asciiTheme="minorHAnsi" w:hAnsiTheme="minorHAnsi" w:cstheme="minorBidi"/>
        </w:rPr>
        <w:t xml:space="preserve">Olavarria OA, Bernardi K, Shah SK, et al. Robotic versus laparoscopic ventral hernia repair: multicenter, blinded randomized controlled trial. </w:t>
      </w:r>
      <w:r w:rsidRPr="00E55103">
        <w:rPr>
          <w:rFonts w:asciiTheme="minorHAnsi" w:hAnsiTheme="minorHAnsi" w:cstheme="minorBidi"/>
          <w:i/>
        </w:rPr>
        <w:t>BMJ</w:t>
      </w:r>
      <w:r w:rsidRPr="00FD2494">
        <w:rPr>
          <w:rFonts w:asciiTheme="minorHAnsi" w:hAnsiTheme="minorHAnsi" w:cstheme="minorBidi"/>
        </w:rPr>
        <w:t xml:space="preserve"> 2020;370:m2457</w:t>
      </w:r>
    </w:p>
    <w:p w14:paraId="6C112917" w14:textId="1AB44CC3" w:rsidR="004D3002" w:rsidRDefault="004D3002" w:rsidP="00B86E8C">
      <w:pPr>
        <w:spacing w:line="360" w:lineRule="auto"/>
        <w:ind w:left="851" w:hanging="851"/>
        <w:rPr>
          <w:rFonts w:asciiTheme="minorHAnsi" w:hAnsiTheme="minorHAnsi" w:cstheme="minorBidi"/>
        </w:rPr>
      </w:pPr>
      <w:r>
        <w:rPr>
          <w:rFonts w:asciiTheme="minorHAnsi" w:hAnsiTheme="minorHAnsi" w:cstheme="minorBidi"/>
        </w:rPr>
        <w:t>174.</w:t>
      </w:r>
      <w:r>
        <w:rPr>
          <w:rFonts w:asciiTheme="minorHAnsi" w:hAnsiTheme="minorHAnsi" w:cstheme="minorBidi"/>
        </w:rPr>
        <w:tab/>
      </w:r>
      <w:r w:rsidRPr="004D3002">
        <w:rPr>
          <w:rFonts w:asciiTheme="minorHAnsi" w:hAnsiTheme="minorHAnsi" w:cstheme="minorBidi"/>
        </w:rPr>
        <w:t xml:space="preserve">Wang D, Shen Y, Wang F, Chen J, Chen Y, Zhang Y. Mini-mesh and Lichtenstein repair compared with a modified Kugel technique for femoral hernia: a randomised controlled trial. </w:t>
      </w:r>
      <w:r w:rsidRPr="00CB6A96">
        <w:rPr>
          <w:rFonts w:asciiTheme="minorHAnsi" w:hAnsiTheme="minorHAnsi" w:cstheme="minorBidi"/>
          <w:i/>
        </w:rPr>
        <w:t>Ann R Coll Surg Engl</w:t>
      </w:r>
      <w:r w:rsidRPr="004D3002">
        <w:rPr>
          <w:rFonts w:asciiTheme="minorHAnsi" w:hAnsiTheme="minorHAnsi" w:cstheme="minorBidi"/>
        </w:rPr>
        <w:t xml:space="preserve"> 2020;102(4):284-289</w:t>
      </w:r>
    </w:p>
    <w:p w14:paraId="40176E90" w14:textId="66876922" w:rsidR="0079174D" w:rsidRPr="00404610" w:rsidRDefault="0079174D" w:rsidP="00B86E8C">
      <w:pPr>
        <w:spacing w:line="360" w:lineRule="auto"/>
        <w:ind w:left="851" w:hanging="851"/>
        <w:rPr>
          <w:rFonts w:asciiTheme="minorHAnsi" w:hAnsiTheme="minorHAnsi" w:cstheme="minorBidi"/>
          <w:lang w:val="es-ES"/>
        </w:rPr>
      </w:pPr>
      <w:r>
        <w:rPr>
          <w:rFonts w:asciiTheme="minorHAnsi" w:hAnsiTheme="minorHAnsi" w:cstheme="minorBidi"/>
        </w:rPr>
        <w:t>175.</w:t>
      </w:r>
      <w:r>
        <w:rPr>
          <w:rFonts w:asciiTheme="minorHAnsi" w:hAnsiTheme="minorHAnsi" w:cstheme="minorBidi"/>
        </w:rPr>
        <w:tab/>
      </w:r>
      <w:r w:rsidRPr="0079174D">
        <w:rPr>
          <w:rFonts w:asciiTheme="minorHAnsi" w:hAnsiTheme="minorHAnsi" w:cstheme="minorBidi"/>
        </w:rPr>
        <w:t xml:space="preserve">Christoffersen MW, Westen M, Rosenberg J, Helgstrand F, Bisgaard T. Closure of the fascial defect during laparoscopic umbilical hernia repair: a randomized clinical trial. </w:t>
      </w:r>
      <w:r w:rsidRPr="00404610">
        <w:rPr>
          <w:rFonts w:asciiTheme="minorHAnsi" w:hAnsiTheme="minorHAnsi" w:cstheme="minorBidi"/>
          <w:i/>
          <w:lang w:val="es-ES"/>
        </w:rPr>
        <w:t>Br J Surg</w:t>
      </w:r>
      <w:r w:rsidRPr="00404610">
        <w:rPr>
          <w:rFonts w:asciiTheme="minorHAnsi" w:hAnsiTheme="minorHAnsi" w:cstheme="minorBidi"/>
          <w:lang w:val="es-ES"/>
        </w:rPr>
        <w:t xml:space="preserve"> 2020;107(3):200-208</w:t>
      </w:r>
    </w:p>
    <w:p w14:paraId="3774085C" w14:textId="40B59B94" w:rsidR="00B31338" w:rsidRPr="00404610" w:rsidRDefault="0079174D" w:rsidP="00B31338">
      <w:pPr>
        <w:spacing w:line="360" w:lineRule="auto"/>
        <w:ind w:left="851" w:hanging="851"/>
        <w:rPr>
          <w:rFonts w:asciiTheme="minorHAnsi" w:hAnsiTheme="minorHAnsi" w:cstheme="minorBidi"/>
          <w:lang w:val="de-DE"/>
        </w:rPr>
      </w:pPr>
      <w:r w:rsidRPr="00CB6A96">
        <w:rPr>
          <w:rFonts w:asciiTheme="minorHAnsi" w:hAnsiTheme="minorHAnsi" w:cstheme="minorBidi"/>
          <w:lang w:val="es-ES"/>
        </w:rPr>
        <w:t>176.</w:t>
      </w:r>
      <w:r w:rsidRPr="00CB6A96">
        <w:rPr>
          <w:rFonts w:asciiTheme="minorHAnsi" w:hAnsiTheme="minorHAnsi" w:cstheme="minorBidi"/>
          <w:lang w:val="es-ES"/>
        </w:rPr>
        <w:tab/>
      </w:r>
      <w:r w:rsidR="00B31338" w:rsidRPr="00CB6A96">
        <w:rPr>
          <w:rFonts w:asciiTheme="minorHAnsi" w:hAnsiTheme="minorHAnsi" w:cstheme="minorBidi"/>
          <w:lang w:val="es-ES"/>
        </w:rPr>
        <w:t xml:space="preserve">Bernardi K, Olavarria OA, Holihan JL, et al. </w:t>
      </w:r>
      <w:r w:rsidR="00B31338" w:rsidRPr="00B31338">
        <w:rPr>
          <w:rFonts w:asciiTheme="minorHAnsi" w:hAnsiTheme="minorHAnsi" w:cstheme="minorBidi"/>
        </w:rPr>
        <w:t>Primary Fascial Closure During Laparoscopic Ventral Hernia Repair Improves Patient Quality of Life: A Multicenter, Blinded Randomized Controlled Trial. </w:t>
      </w:r>
      <w:r w:rsidR="00B31338" w:rsidRPr="00404610">
        <w:rPr>
          <w:rFonts w:asciiTheme="minorHAnsi" w:hAnsiTheme="minorHAnsi" w:cstheme="minorBidi"/>
          <w:i/>
          <w:lang w:val="de-DE"/>
        </w:rPr>
        <w:t>Ann Surg</w:t>
      </w:r>
      <w:r w:rsidR="00B31338" w:rsidRPr="00404610">
        <w:rPr>
          <w:rFonts w:asciiTheme="minorHAnsi" w:hAnsiTheme="minorHAnsi" w:cstheme="minorBidi"/>
          <w:lang w:val="de-DE"/>
        </w:rPr>
        <w:t xml:space="preserve"> 2020;271(3):434-439</w:t>
      </w:r>
    </w:p>
    <w:p w14:paraId="3CB0F42A" w14:textId="79A0B320" w:rsidR="00416DCC" w:rsidRPr="00404610" w:rsidRDefault="00416DCC" w:rsidP="00B31338">
      <w:pPr>
        <w:spacing w:line="360" w:lineRule="auto"/>
        <w:ind w:left="851" w:hanging="851"/>
        <w:rPr>
          <w:rFonts w:asciiTheme="minorHAnsi" w:hAnsiTheme="minorHAnsi" w:cstheme="minorBidi"/>
          <w:lang w:val="es-ES"/>
        </w:rPr>
      </w:pPr>
      <w:r w:rsidRPr="00404610">
        <w:rPr>
          <w:rFonts w:asciiTheme="minorHAnsi" w:hAnsiTheme="minorHAnsi" w:cstheme="minorBidi"/>
          <w:lang w:val="de-DE"/>
        </w:rPr>
        <w:t>177.</w:t>
      </w:r>
      <w:r w:rsidRPr="00404610">
        <w:rPr>
          <w:rFonts w:asciiTheme="minorHAnsi" w:hAnsiTheme="minorHAnsi" w:cstheme="minorBidi"/>
          <w:lang w:val="de-DE"/>
        </w:rPr>
        <w:tab/>
        <w:t xml:space="preserve">Wang D, Zhang H, Lei T, et al. </w:t>
      </w:r>
      <w:r w:rsidRPr="00416DCC">
        <w:rPr>
          <w:rFonts w:asciiTheme="minorHAnsi" w:hAnsiTheme="minorHAnsi" w:cstheme="minorBidi"/>
        </w:rPr>
        <w:t xml:space="preserve">Randomized Trial Comparing Self-Gripping Mesh with Polypropylene Mesh in Female Lichtenstein Hernioplasty. </w:t>
      </w:r>
      <w:r w:rsidRPr="00404610">
        <w:rPr>
          <w:rFonts w:asciiTheme="minorHAnsi" w:hAnsiTheme="minorHAnsi" w:cstheme="minorBidi"/>
          <w:i/>
          <w:lang w:val="es-ES"/>
        </w:rPr>
        <w:t>Am Surg</w:t>
      </w:r>
      <w:r w:rsidRPr="00404610">
        <w:rPr>
          <w:rFonts w:asciiTheme="minorHAnsi" w:hAnsiTheme="minorHAnsi" w:cstheme="minorBidi"/>
          <w:lang w:val="es-ES"/>
        </w:rPr>
        <w:t xml:space="preserve"> 2020;86(2):110-115</w:t>
      </w:r>
    </w:p>
    <w:p w14:paraId="468BB001" w14:textId="0D6FA489" w:rsidR="00CC4F1B" w:rsidRDefault="00CC4F1B" w:rsidP="00B31338">
      <w:pPr>
        <w:spacing w:line="360" w:lineRule="auto"/>
        <w:ind w:left="851" w:hanging="851"/>
        <w:rPr>
          <w:rFonts w:asciiTheme="minorHAnsi" w:hAnsiTheme="minorHAnsi" w:cstheme="minorBidi"/>
        </w:rPr>
      </w:pPr>
      <w:r w:rsidRPr="00CB6A96">
        <w:rPr>
          <w:rFonts w:asciiTheme="minorHAnsi" w:hAnsiTheme="minorHAnsi" w:cstheme="minorBidi"/>
          <w:lang w:val="es-ES"/>
        </w:rPr>
        <w:t>178.</w:t>
      </w:r>
      <w:r w:rsidRPr="00CB6A96">
        <w:rPr>
          <w:rFonts w:asciiTheme="minorHAnsi" w:hAnsiTheme="minorHAnsi" w:cstheme="minorBidi"/>
          <w:lang w:val="es-ES"/>
        </w:rPr>
        <w:tab/>
        <w:t xml:space="preserve">Ahonen-Siirtola M, Nevala T, Vironen J, et al. </w:t>
      </w:r>
      <w:r w:rsidRPr="00CC4F1B">
        <w:rPr>
          <w:rFonts w:asciiTheme="minorHAnsi" w:hAnsiTheme="minorHAnsi" w:cstheme="minorBidi"/>
        </w:rPr>
        <w:t xml:space="preserve">Laparoscopic versus hybrid approach for treatment of incisional ventral hernia: a prospective randomised multicentre study, 1-year results. </w:t>
      </w:r>
      <w:r w:rsidRPr="00CB6A96">
        <w:rPr>
          <w:rFonts w:asciiTheme="minorHAnsi" w:hAnsiTheme="minorHAnsi" w:cstheme="minorBidi"/>
          <w:i/>
        </w:rPr>
        <w:t>Surg Endosc</w:t>
      </w:r>
      <w:r w:rsidRPr="00CC4F1B">
        <w:rPr>
          <w:rFonts w:asciiTheme="minorHAnsi" w:hAnsiTheme="minorHAnsi" w:cstheme="minorBidi"/>
        </w:rPr>
        <w:t xml:space="preserve"> 2020;34(1):88-95</w:t>
      </w:r>
    </w:p>
    <w:p w14:paraId="5A9E0814" w14:textId="3C0F6E3F" w:rsidR="00226524" w:rsidRPr="00404610" w:rsidRDefault="00226524" w:rsidP="00B31338">
      <w:pPr>
        <w:spacing w:line="360" w:lineRule="auto"/>
        <w:ind w:left="851" w:hanging="851"/>
        <w:rPr>
          <w:rFonts w:asciiTheme="minorHAnsi" w:hAnsiTheme="minorHAnsi" w:cstheme="minorBidi"/>
          <w:lang w:val="de-DE"/>
        </w:rPr>
      </w:pPr>
      <w:r>
        <w:rPr>
          <w:rFonts w:asciiTheme="minorHAnsi" w:hAnsiTheme="minorHAnsi" w:cstheme="minorBidi"/>
        </w:rPr>
        <w:t>179.</w:t>
      </w:r>
      <w:r>
        <w:rPr>
          <w:rFonts w:asciiTheme="minorHAnsi" w:hAnsiTheme="minorHAnsi" w:cstheme="minorBidi"/>
        </w:rPr>
        <w:tab/>
      </w:r>
      <w:r w:rsidRPr="00226524">
        <w:rPr>
          <w:rFonts w:asciiTheme="minorHAnsi" w:hAnsiTheme="minorHAnsi" w:cstheme="minorBidi"/>
        </w:rPr>
        <w:t xml:space="preserve">Wolf LL, Ejiofor JI, Wang Y, et al. Management of Reducible Ventral Hernias: Clinical Outcomes and Cost-effectiveness of Repair at Diagnosis Versus Watchful Waiting. </w:t>
      </w:r>
      <w:r w:rsidRPr="00404610">
        <w:rPr>
          <w:rFonts w:asciiTheme="minorHAnsi" w:hAnsiTheme="minorHAnsi" w:cstheme="minorBidi"/>
          <w:i/>
          <w:lang w:val="de-DE"/>
        </w:rPr>
        <w:t>Ann Surg</w:t>
      </w:r>
      <w:r w:rsidRPr="00404610">
        <w:rPr>
          <w:rFonts w:asciiTheme="minorHAnsi" w:hAnsiTheme="minorHAnsi" w:cstheme="minorBidi"/>
          <w:lang w:val="de-DE"/>
        </w:rPr>
        <w:t xml:space="preserve"> 2019;269(2):358-366</w:t>
      </w:r>
    </w:p>
    <w:p w14:paraId="39D302DE" w14:textId="20411D56" w:rsidR="00F35702" w:rsidRDefault="00F35702" w:rsidP="00B31338">
      <w:pPr>
        <w:spacing w:line="360" w:lineRule="auto"/>
        <w:ind w:left="851" w:hanging="851"/>
        <w:rPr>
          <w:rFonts w:asciiTheme="minorHAnsi" w:hAnsiTheme="minorHAnsi" w:cstheme="minorBidi"/>
        </w:rPr>
      </w:pPr>
      <w:r w:rsidRPr="00404610">
        <w:rPr>
          <w:rFonts w:asciiTheme="minorHAnsi" w:hAnsiTheme="minorHAnsi" w:cstheme="minorBidi"/>
          <w:lang w:val="de-DE"/>
        </w:rPr>
        <w:t xml:space="preserve">180. </w:t>
      </w:r>
      <w:r w:rsidRPr="00404610">
        <w:rPr>
          <w:rFonts w:asciiTheme="minorHAnsi" w:hAnsiTheme="minorHAnsi" w:cstheme="minorBidi"/>
          <w:lang w:val="de-DE"/>
        </w:rPr>
        <w:tab/>
        <w:t xml:space="preserve">Brans E, Reininga IHF, Balink H, Munzebrock AVE, Bessem B, de Graaf JS. </w:t>
      </w:r>
      <w:r w:rsidRPr="00F35702">
        <w:rPr>
          <w:rFonts w:asciiTheme="minorHAnsi" w:hAnsiTheme="minorHAnsi" w:cstheme="minorBidi"/>
        </w:rPr>
        <w:t xml:space="preserve">Early recovery after endoscopic totally extraperitoneal (TEP) hernia repair in athletes with inguinal disruption: A prospective cohort study. </w:t>
      </w:r>
      <w:r w:rsidRPr="00CB6A96">
        <w:rPr>
          <w:rFonts w:asciiTheme="minorHAnsi" w:hAnsiTheme="minorHAnsi" w:cstheme="minorBidi"/>
          <w:i/>
        </w:rPr>
        <w:t>PLoS One</w:t>
      </w:r>
      <w:r w:rsidRPr="00F35702">
        <w:rPr>
          <w:rFonts w:asciiTheme="minorHAnsi" w:hAnsiTheme="minorHAnsi" w:cstheme="minorBidi"/>
        </w:rPr>
        <w:t xml:space="preserve"> 2019;14(12):e0226011</w:t>
      </w:r>
    </w:p>
    <w:p w14:paraId="49D76537" w14:textId="19EB55FC" w:rsidR="00D50E96" w:rsidRDefault="000A7CAF" w:rsidP="00B31338">
      <w:pPr>
        <w:spacing w:line="360" w:lineRule="auto"/>
        <w:ind w:left="851" w:hanging="851"/>
        <w:rPr>
          <w:rFonts w:asciiTheme="minorHAnsi" w:hAnsiTheme="minorHAnsi" w:cstheme="minorBidi"/>
        </w:rPr>
      </w:pPr>
      <w:r>
        <w:rPr>
          <w:rFonts w:asciiTheme="minorHAnsi" w:hAnsiTheme="minorHAnsi" w:cstheme="minorBidi"/>
        </w:rPr>
        <w:t>181.</w:t>
      </w:r>
      <w:r>
        <w:rPr>
          <w:rFonts w:asciiTheme="minorHAnsi" w:hAnsiTheme="minorHAnsi" w:cstheme="minorBidi"/>
        </w:rPr>
        <w:tab/>
      </w:r>
      <w:r w:rsidRPr="000A7CAF">
        <w:rPr>
          <w:rFonts w:asciiTheme="minorHAnsi" w:hAnsiTheme="minorHAnsi" w:cstheme="minorBidi"/>
        </w:rPr>
        <w:t xml:space="preserve">Bernardi K, Martin AC, Holihan JL, et al. Is non-operative management warranted in ventral hernia patients with comorbidities? A case-matched, prospective 3 year follow-up, patient-centered study. </w:t>
      </w:r>
      <w:r w:rsidRPr="00CB6A96">
        <w:rPr>
          <w:rFonts w:asciiTheme="minorHAnsi" w:hAnsiTheme="minorHAnsi" w:cstheme="minorBidi"/>
          <w:i/>
        </w:rPr>
        <w:t>Am J Surg</w:t>
      </w:r>
      <w:r w:rsidRPr="000A7CAF">
        <w:rPr>
          <w:rFonts w:asciiTheme="minorHAnsi" w:hAnsiTheme="minorHAnsi" w:cstheme="minorBidi"/>
        </w:rPr>
        <w:t xml:space="preserve"> 2019;218(6):1234-1238</w:t>
      </w:r>
    </w:p>
    <w:p w14:paraId="43FABBED" w14:textId="6E8D3135" w:rsidR="004A5176" w:rsidRDefault="004A5176" w:rsidP="00B31338">
      <w:pPr>
        <w:spacing w:line="360" w:lineRule="auto"/>
        <w:ind w:left="851" w:hanging="851"/>
        <w:rPr>
          <w:rFonts w:asciiTheme="minorHAnsi" w:hAnsiTheme="minorHAnsi" w:cstheme="minorBidi"/>
        </w:rPr>
      </w:pPr>
      <w:r>
        <w:rPr>
          <w:rFonts w:asciiTheme="minorHAnsi" w:hAnsiTheme="minorHAnsi" w:cstheme="minorBidi"/>
        </w:rPr>
        <w:t>182.</w:t>
      </w:r>
      <w:r>
        <w:rPr>
          <w:rFonts w:asciiTheme="minorHAnsi" w:hAnsiTheme="minorHAnsi" w:cstheme="minorBidi"/>
        </w:rPr>
        <w:tab/>
      </w:r>
      <w:r w:rsidRPr="004A5176">
        <w:rPr>
          <w:rFonts w:asciiTheme="minorHAnsi" w:hAnsiTheme="minorHAnsi" w:cstheme="minorBidi"/>
        </w:rPr>
        <w:t xml:space="preserve">Chen DC, Morrison J. State of the art: open mesh-based inguinal hernia repair. </w:t>
      </w:r>
      <w:r w:rsidRPr="00CB6A96">
        <w:rPr>
          <w:rFonts w:asciiTheme="minorHAnsi" w:hAnsiTheme="minorHAnsi" w:cstheme="minorBidi"/>
          <w:i/>
        </w:rPr>
        <w:t>Hernia</w:t>
      </w:r>
      <w:r w:rsidRPr="004A5176">
        <w:rPr>
          <w:rFonts w:asciiTheme="minorHAnsi" w:hAnsiTheme="minorHAnsi" w:cstheme="minorBidi"/>
        </w:rPr>
        <w:t xml:space="preserve"> 2019;23(3):485-492</w:t>
      </w:r>
    </w:p>
    <w:p w14:paraId="00D3067C" w14:textId="103DAF42" w:rsidR="001E0F92" w:rsidRDefault="004A5176" w:rsidP="00B31338">
      <w:pPr>
        <w:spacing w:line="360" w:lineRule="auto"/>
        <w:ind w:left="851" w:hanging="851"/>
        <w:rPr>
          <w:rFonts w:asciiTheme="minorHAnsi" w:hAnsiTheme="minorHAnsi" w:cstheme="minorBidi"/>
        </w:rPr>
      </w:pPr>
      <w:r>
        <w:rPr>
          <w:rFonts w:asciiTheme="minorHAnsi" w:hAnsiTheme="minorHAnsi" w:cstheme="minorBidi"/>
        </w:rPr>
        <w:t>183.</w:t>
      </w:r>
      <w:r>
        <w:rPr>
          <w:rFonts w:asciiTheme="minorHAnsi" w:hAnsiTheme="minorHAnsi" w:cstheme="minorBidi"/>
        </w:rPr>
        <w:tab/>
      </w:r>
      <w:r w:rsidR="001E0F92" w:rsidRPr="001E0F92">
        <w:rPr>
          <w:rFonts w:asciiTheme="minorHAnsi" w:hAnsiTheme="minorHAnsi" w:cstheme="minorBidi"/>
        </w:rPr>
        <w:t xml:space="preserve">Gutlic N, Gutlic A, Petersson U, Rogmark P, Montgomery A. Randomized clinical trial comparing total extraperitoneal with Lichtenstein inguinal hernia repair (TEPLICH trial). </w:t>
      </w:r>
      <w:r w:rsidR="001E0F92" w:rsidRPr="00CB6A96">
        <w:rPr>
          <w:rFonts w:asciiTheme="minorHAnsi" w:hAnsiTheme="minorHAnsi" w:cstheme="minorBidi"/>
          <w:i/>
        </w:rPr>
        <w:t>Br J Surg</w:t>
      </w:r>
      <w:r w:rsidR="001E0F92">
        <w:rPr>
          <w:rFonts w:asciiTheme="minorHAnsi" w:hAnsiTheme="minorHAnsi" w:cstheme="minorBidi"/>
          <w:i/>
          <w:iCs/>
        </w:rPr>
        <w:t xml:space="preserve"> </w:t>
      </w:r>
      <w:r w:rsidR="001E0F92" w:rsidRPr="001E0F92">
        <w:rPr>
          <w:rFonts w:asciiTheme="minorHAnsi" w:hAnsiTheme="minorHAnsi" w:cstheme="minorBidi"/>
        </w:rPr>
        <w:t>2019;106(7):845-855</w:t>
      </w:r>
    </w:p>
    <w:p w14:paraId="268CCAC4" w14:textId="0205DE6C" w:rsidR="001E0F92" w:rsidRDefault="001E0F92" w:rsidP="00B31338">
      <w:pPr>
        <w:spacing w:line="360" w:lineRule="auto"/>
        <w:ind w:left="851" w:hanging="851"/>
        <w:rPr>
          <w:rFonts w:asciiTheme="minorHAnsi" w:hAnsiTheme="minorHAnsi" w:cstheme="minorBidi"/>
        </w:rPr>
      </w:pPr>
      <w:r>
        <w:rPr>
          <w:rFonts w:asciiTheme="minorHAnsi" w:hAnsiTheme="minorHAnsi" w:cstheme="minorBidi"/>
        </w:rPr>
        <w:t>184.</w:t>
      </w:r>
      <w:r>
        <w:rPr>
          <w:rFonts w:asciiTheme="minorHAnsi" w:hAnsiTheme="minorHAnsi" w:cstheme="minorBidi"/>
        </w:rPr>
        <w:tab/>
      </w:r>
      <w:r w:rsidR="009165A3" w:rsidRPr="009165A3">
        <w:rPr>
          <w:rFonts w:asciiTheme="minorHAnsi" w:hAnsiTheme="minorHAnsi" w:cstheme="minorBidi"/>
        </w:rPr>
        <w:t xml:space="preserve">Bullen NL, Massey LH, Antoniou SA, Smart NJ, Fortelny RH. Open versus laparoscopic mesh repair of primary unilateral uncomplicated inguinal hernia: a systematic review with meta-analysis and trial sequential analysis. </w:t>
      </w:r>
      <w:r w:rsidR="009165A3" w:rsidRPr="00CB6A96">
        <w:rPr>
          <w:rFonts w:asciiTheme="minorHAnsi" w:hAnsiTheme="minorHAnsi" w:cstheme="minorBidi"/>
          <w:i/>
        </w:rPr>
        <w:t>Hernia</w:t>
      </w:r>
      <w:r w:rsidR="009165A3" w:rsidRPr="009165A3">
        <w:rPr>
          <w:rFonts w:asciiTheme="minorHAnsi" w:hAnsiTheme="minorHAnsi" w:cstheme="minorBidi"/>
        </w:rPr>
        <w:t xml:space="preserve"> 2019;23(3):461-472</w:t>
      </w:r>
    </w:p>
    <w:p w14:paraId="4C7F969C" w14:textId="4F6A5EDA" w:rsidR="009165A3" w:rsidRDefault="00C51553" w:rsidP="00B31338">
      <w:pPr>
        <w:spacing w:line="360" w:lineRule="auto"/>
        <w:ind w:left="851" w:hanging="851"/>
        <w:rPr>
          <w:rFonts w:asciiTheme="minorHAnsi" w:hAnsiTheme="minorHAnsi" w:cstheme="minorBidi"/>
        </w:rPr>
      </w:pPr>
      <w:r>
        <w:rPr>
          <w:rFonts w:asciiTheme="minorHAnsi" w:hAnsiTheme="minorHAnsi" w:cstheme="minorBidi"/>
        </w:rPr>
        <w:t>185.</w:t>
      </w:r>
      <w:r>
        <w:rPr>
          <w:rFonts w:asciiTheme="minorHAnsi" w:hAnsiTheme="minorHAnsi" w:cstheme="minorBidi"/>
        </w:rPr>
        <w:tab/>
      </w:r>
      <w:r w:rsidRPr="00C51553">
        <w:rPr>
          <w:rFonts w:asciiTheme="minorHAnsi" w:hAnsiTheme="minorHAnsi" w:cstheme="minorBidi"/>
        </w:rPr>
        <w:t xml:space="preserve">Peña ME, Dreifuss NH, Schlottmann F, Sadava EE. Could long-term follow-up modify the outcomes after laparoscopic TAPP? A 5-year retrospective cohort study. </w:t>
      </w:r>
      <w:r w:rsidRPr="00CB6A96">
        <w:rPr>
          <w:rFonts w:asciiTheme="minorHAnsi" w:hAnsiTheme="minorHAnsi" w:cstheme="minorBidi"/>
          <w:i/>
        </w:rPr>
        <w:t>Hernia</w:t>
      </w:r>
      <w:r w:rsidRPr="00C51553">
        <w:rPr>
          <w:rFonts w:asciiTheme="minorHAnsi" w:hAnsiTheme="minorHAnsi" w:cstheme="minorBidi"/>
        </w:rPr>
        <w:t xml:space="preserve"> 2019;23(4):693-698</w:t>
      </w:r>
    </w:p>
    <w:p w14:paraId="40E60271" w14:textId="5D83DDF4" w:rsidR="009B2A52" w:rsidRDefault="00601AB9" w:rsidP="00B31338">
      <w:pPr>
        <w:spacing w:line="360" w:lineRule="auto"/>
        <w:ind w:left="851" w:hanging="851"/>
        <w:rPr>
          <w:rFonts w:asciiTheme="minorHAnsi" w:hAnsiTheme="minorHAnsi" w:cstheme="minorBidi"/>
        </w:rPr>
      </w:pPr>
      <w:r>
        <w:rPr>
          <w:rFonts w:asciiTheme="minorHAnsi" w:hAnsiTheme="minorHAnsi" w:cstheme="minorBidi"/>
        </w:rPr>
        <w:t>186</w:t>
      </w:r>
      <w:r w:rsidR="009040A6">
        <w:rPr>
          <w:rFonts w:asciiTheme="minorHAnsi" w:hAnsiTheme="minorHAnsi" w:cstheme="minorBidi"/>
        </w:rPr>
        <w:t>.</w:t>
      </w:r>
      <w:r>
        <w:rPr>
          <w:rFonts w:asciiTheme="minorHAnsi" w:hAnsiTheme="minorHAnsi" w:cstheme="minorBidi"/>
        </w:rPr>
        <w:tab/>
      </w:r>
      <w:r w:rsidR="000C187C" w:rsidRPr="000C187C">
        <w:rPr>
          <w:rFonts w:asciiTheme="minorHAnsi" w:hAnsiTheme="minorHAnsi" w:cstheme="minorBidi"/>
        </w:rPr>
        <w:t xml:space="preserve">Kaufmann R, Timmermans L, van Loon YT, Vroemen JPAM, Jeekel J, Lange JF. Repair of complex abdominal wall hernias with a cross-linked porcine acellular matrix: cross-sectional results of a Dutch cohort study. </w:t>
      </w:r>
      <w:r w:rsidR="000C187C" w:rsidRPr="00CB6A96">
        <w:rPr>
          <w:rFonts w:asciiTheme="minorHAnsi" w:hAnsiTheme="minorHAnsi" w:cstheme="minorBidi"/>
          <w:i/>
        </w:rPr>
        <w:t>Int J Surg</w:t>
      </w:r>
      <w:r w:rsidR="000C187C" w:rsidRPr="000C187C">
        <w:rPr>
          <w:rFonts w:asciiTheme="minorHAnsi" w:hAnsiTheme="minorHAnsi" w:cstheme="minorBidi"/>
        </w:rPr>
        <w:t xml:space="preserve"> 2019;65:120-127</w:t>
      </w:r>
    </w:p>
    <w:p w14:paraId="61942F99" w14:textId="629DD573" w:rsidR="009040A6" w:rsidRDefault="009040A6" w:rsidP="00B31338">
      <w:pPr>
        <w:spacing w:line="360" w:lineRule="auto"/>
        <w:ind w:left="851" w:hanging="851"/>
        <w:rPr>
          <w:rFonts w:asciiTheme="minorHAnsi" w:hAnsiTheme="minorHAnsi" w:cstheme="minorBidi"/>
        </w:rPr>
      </w:pPr>
      <w:r>
        <w:rPr>
          <w:rFonts w:asciiTheme="minorHAnsi" w:hAnsiTheme="minorHAnsi" w:cstheme="minorBidi"/>
        </w:rPr>
        <w:t>187.</w:t>
      </w:r>
      <w:r>
        <w:rPr>
          <w:rFonts w:asciiTheme="minorHAnsi" w:hAnsiTheme="minorHAnsi" w:cstheme="minorBidi"/>
        </w:rPr>
        <w:tab/>
      </w:r>
      <w:r w:rsidRPr="009040A6">
        <w:rPr>
          <w:rFonts w:asciiTheme="minorHAnsi" w:hAnsiTheme="minorHAnsi" w:cstheme="minorBidi"/>
        </w:rPr>
        <w:t xml:space="preserve">Thiyagarajan S, Velraj J, Hussain Ahmed MI, Murugesan R. Subarachnoid block with continuous TAP catheter analgesia produces less chronic pain and better functional outcome after inguinal hernioplasty: a randomized controlled observer-blinded study. </w:t>
      </w:r>
      <w:r w:rsidRPr="00CB6A96">
        <w:rPr>
          <w:rFonts w:asciiTheme="minorHAnsi" w:hAnsiTheme="minorHAnsi" w:cstheme="minorBidi"/>
          <w:i/>
        </w:rPr>
        <w:t>Reg Anesth Pain Med</w:t>
      </w:r>
      <w:r>
        <w:rPr>
          <w:rFonts w:asciiTheme="minorHAnsi" w:hAnsiTheme="minorHAnsi" w:cstheme="minorBidi"/>
          <w:i/>
          <w:iCs/>
        </w:rPr>
        <w:t xml:space="preserve"> </w:t>
      </w:r>
      <w:r w:rsidRPr="009040A6">
        <w:rPr>
          <w:rFonts w:asciiTheme="minorHAnsi" w:hAnsiTheme="minorHAnsi" w:cstheme="minorBidi"/>
        </w:rPr>
        <w:t>2019;44(2):228-233</w:t>
      </w:r>
    </w:p>
    <w:p w14:paraId="4D6E4546" w14:textId="7897EFF7" w:rsidR="00277168" w:rsidRDefault="00277168" w:rsidP="00B31338">
      <w:pPr>
        <w:spacing w:line="360" w:lineRule="auto"/>
        <w:ind w:left="851" w:hanging="851"/>
        <w:rPr>
          <w:rFonts w:asciiTheme="minorHAnsi" w:hAnsiTheme="minorHAnsi" w:cstheme="minorBidi"/>
        </w:rPr>
      </w:pPr>
      <w:r>
        <w:rPr>
          <w:rFonts w:asciiTheme="minorHAnsi" w:hAnsiTheme="minorHAnsi" w:cstheme="minorBidi"/>
        </w:rPr>
        <w:t>188.</w:t>
      </w:r>
      <w:r>
        <w:rPr>
          <w:rFonts w:asciiTheme="minorHAnsi" w:hAnsiTheme="minorHAnsi" w:cstheme="minorBidi"/>
        </w:rPr>
        <w:tab/>
      </w:r>
      <w:r w:rsidRPr="00277168">
        <w:rPr>
          <w:rFonts w:asciiTheme="minorHAnsi" w:hAnsiTheme="minorHAnsi" w:cstheme="minorBidi"/>
        </w:rPr>
        <w:t xml:space="preserve">Magnusson J, Gustafsson UO, Nygren J, Thorell A. Sustainability of the relationship between preoperative symptoms and postoperative improvement in quality of life after inguinal hernia repair. </w:t>
      </w:r>
      <w:r w:rsidRPr="00CB6A96">
        <w:rPr>
          <w:rFonts w:asciiTheme="minorHAnsi" w:hAnsiTheme="minorHAnsi" w:cstheme="minorBidi"/>
          <w:i/>
        </w:rPr>
        <w:t>Hernia</w:t>
      </w:r>
      <w:r w:rsidRPr="00277168">
        <w:rPr>
          <w:rFonts w:asciiTheme="minorHAnsi" w:hAnsiTheme="minorHAnsi" w:cstheme="minorBidi"/>
        </w:rPr>
        <w:t xml:space="preserve"> 2019;23(3):583-591</w:t>
      </w:r>
    </w:p>
    <w:p w14:paraId="1606CF81" w14:textId="4BDCC65B" w:rsidR="00277168" w:rsidRDefault="001F643C" w:rsidP="00B31338">
      <w:pPr>
        <w:spacing w:line="360" w:lineRule="auto"/>
        <w:ind w:left="851" w:hanging="851"/>
        <w:rPr>
          <w:rFonts w:asciiTheme="minorHAnsi" w:hAnsiTheme="minorHAnsi" w:cstheme="minorBidi"/>
        </w:rPr>
      </w:pPr>
      <w:r>
        <w:rPr>
          <w:rFonts w:asciiTheme="minorHAnsi" w:hAnsiTheme="minorHAnsi" w:cstheme="minorBidi"/>
        </w:rPr>
        <w:t>189.</w:t>
      </w:r>
      <w:r>
        <w:rPr>
          <w:rFonts w:asciiTheme="minorHAnsi" w:hAnsiTheme="minorHAnsi" w:cstheme="minorBidi"/>
        </w:rPr>
        <w:tab/>
      </w:r>
      <w:r w:rsidRPr="001F643C">
        <w:rPr>
          <w:rFonts w:asciiTheme="minorHAnsi" w:hAnsiTheme="minorHAnsi" w:cstheme="minorBidi"/>
        </w:rPr>
        <w:t xml:space="preserve">Denham M, Johnson B, Leong M, et al. An analysis of results in a single-blinded, prospective randomized controlled trial comparing non-fixating versus self-fixating mesh for laparoscopic inguinal hernia repair. </w:t>
      </w:r>
      <w:r w:rsidRPr="00CB6A96">
        <w:rPr>
          <w:rFonts w:asciiTheme="minorHAnsi" w:hAnsiTheme="minorHAnsi" w:cstheme="minorBidi"/>
          <w:i/>
        </w:rPr>
        <w:t>Surg Endosc</w:t>
      </w:r>
      <w:r w:rsidRPr="001F643C">
        <w:rPr>
          <w:rFonts w:asciiTheme="minorHAnsi" w:hAnsiTheme="minorHAnsi" w:cstheme="minorBidi"/>
        </w:rPr>
        <w:t xml:space="preserve"> 2019;33(8):2670-2679</w:t>
      </w:r>
    </w:p>
    <w:p w14:paraId="28ADC2E5" w14:textId="0E2C507B" w:rsidR="001F643C" w:rsidRDefault="00E11414" w:rsidP="00B31338">
      <w:pPr>
        <w:spacing w:line="360" w:lineRule="auto"/>
        <w:ind w:left="851" w:hanging="851"/>
        <w:rPr>
          <w:rFonts w:asciiTheme="minorHAnsi" w:hAnsiTheme="minorHAnsi" w:cstheme="minorBidi"/>
        </w:rPr>
      </w:pPr>
      <w:r>
        <w:rPr>
          <w:rFonts w:asciiTheme="minorHAnsi" w:hAnsiTheme="minorHAnsi" w:cstheme="minorBidi"/>
        </w:rPr>
        <w:t>190.</w:t>
      </w:r>
      <w:r>
        <w:rPr>
          <w:rFonts w:asciiTheme="minorHAnsi" w:hAnsiTheme="minorHAnsi" w:cstheme="minorBidi"/>
        </w:rPr>
        <w:tab/>
      </w:r>
      <w:r w:rsidRPr="00E11414">
        <w:rPr>
          <w:rFonts w:asciiTheme="minorHAnsi" w:hAnsiTheme="minorHAnsi" w:cstheme="minorBidi"/>
        </w:rPr>
        <w:t xml:space="preserve">Feng MP, Baucom RB, Broman KK, et al. Early repair of ventral incisional hernia may improve quality of life after surgery for abdominal malignancy: a prospective observational cohort study. </w:t>
      </w:r>
      <w:r w:rsidRPr="00CB6A96">
        <w:rPr>
          <w:rFonts w:asciiTheme="minorHAnsi" w:hAnsiTheme="minorHAnsi" w:cstheme="minorBidi"/>
          <w:i/>
        </w:rPr>
        <w:t>Hernia</w:t>
      </w:r>
      <w:r w:rsidRPr="00E11414">
        <w:rPr>
          <w:rFonts w:asciiTheme="minorHAnsi" w:hAnsiTheme="minorHAnsi" w:cstheme="minorBidi"/>
        </w:rPr>
        <w:t xml:space="preserve"> 2019;23(1):81-90</w:t>
      </w:r>
    </w:p>
    <w:p w14:paraId="1ECA23BB" w14:textId="596DDEB2" w:rsidR="00E11414" w:rsidRDefault="00E11414" w:rsidP="00B31338">
      <w:pPr>
        <w:spacing w:line="360" w:lineRule="auto"/>
        <w:ind w:left="851" w:hanging="851"/>
        <w:rPr>
          <w:rFonts w:asciiTheme="minorHAnsi" w:hAnsiTheme="minorHAnsi" w:cstheme="minorBidi"/>
        </w:rPr>
      </w:pPr>
      <w:r>
        <w:rPr>
          <w:rFonts w:asciiTheme="minorHAnsi" w:hAnsiTheme="minorHAnsi" w:cstheme="minorBidi"/>
        </w:rPr>
        <w:t>191.</w:t>
      </w:r>
      <w:r>
        <w:rPr>
          <w:rFonts w:asciiTheme="minorHAnsi" w:hAnsiTheme="minorHAnsi" w:cstheme="minorBidi"/>
        </w:rPr>
        <w:tab/>
      </w:r>
      <w:r w:rsidR="007D1ACB" w:rsidRPr="007D1ACB">
        <w:rPr>
          <w:rFonts w:asciiTheme="minorHAnsi" w:hAnsiTheme="minorHAnsi" w:cstheme="minorBidi"/>
        </w:rPr>
        <w:t xml:space="preserve">Schneeberger S, Phillips S, Huang LC, Pierce RA, Etemad SA, Poulose BK. Cost-Utility Analysis of Biologic and Biosynthetic Mesh in Ventral Hernia Repair: When Are They Worth It?. </w:t>
      </w:r>
      <w:r w:rsidR="007D1ACB" w:rsidRPr="00CB6A96">
        <w:rPr>
          <w:rFonts w:asciiTheme="minorHAnsi" w:hAnsiTheme="minorHAnsi" w:cstheme="minorBidi"/>
          <w:i/>
        </w:rPr>
        <w:t>J Am Coll Surg</w:t>
      </w:r>
      <w:r w:rsidR="007D1ACB" w:rsidRPr="007D1ACB">
        <w:rPr>
          <w:rFonts w:asciiTheme="minorHAnsi" w:hAnsiTheme="minorHAnsi" w:cstheme="minorBidi"/>
        </w:rPr>
        <w:t xml:space="preserve"> 2019;228(1):66-71</w:t>
      </w:r>
    </w:p>
    <w:p w14:paraId="4E498E5C" w14:textId="14E54B91" w:rsidR="007D1ACB" w:rsidRDefault="00247C35" w:rsidP="00B31338">
      <w:pPr>
        <w:spacing w:line="360" w:lineRule="auto"/>
        <w:ind w:left="851" w:hanging="851"/>
        <w:rPr>
          <w:rFonts w:asciiTheme="minorHAnsi" w:hAnsiTheme="minorHAnsi" w:cstheme="minorBidi"/>
        </w:rPr>
      </w:pPr>
      <w:r>
        <w:rPr>
          <w:rFonts w:asciiTheme="minorHAnsi" w:hAnsiTheme="minorHAnsi" w:cstheme="minorBidi"/>
        </w:rPr>
        <w:t>192</w:t>
      </w:r>
      <w:r w:rsidR="00AC1004">
        <w:rPr>
          <w:rFonts w:asciiTheme="minorHAnsi" w:hAnsiTheme="minorHAnsi" w:cstheme="minorBidi"/>
        </w:rPr>
        <w:t>.</w:t>
      </w:r>
      <w:r w:rsidR="00AC1004">
        <w:rPr>
          <w:rFonts w:asciiTheme="minorHAnsi" w:hAnsiTheme="minorHAnsi" w:cstheme="minorBidi"/>
        </w:rPr>
        <w:tab/>
      </w:r>
      <w:r w:rsidR="00AC1004" w:rsidRPr="00AC1004">
        <w:rPr>
          <w:rFonts w:asciiTheme="minorHAnsi" w:hAnsiTheme="minorHAnsi" w:cstheme="minorBidi"/>
        </w:rPr>
        <w:t xml:space="preserve">Nouh T, Ali FS, Krause KJ, Zaimi I. Ventral hernia recurrence in women of childbearing age: a systematic review and meta-analysis. </w:t>
      </w:r>
      <w:r w:rsidR="00AC1004" w:rsidRPr="00CB6A96">
        <w:rPr>
          <w:rFonts w:asciiTheme="minorHAnsi" w:hAnsiTheme="minorHAnsi" w:cstheme="minorBidi"/>
          <w:i/>
        </w:rPr>
        <w:t>Hernia</w:t>
      </w:r>
      <w:r w:rsidR="00AC1004" w:rsidRPr="00AC1004">
        <w:rPr>
          <w:rFonts w:asciiTheme="minorHAnsi" w:hAnsiTheme="minorHAnsi" w:cstheme="minorBidi"/>
        </w:rPr>
        <w:t xml:space="preserve"> 2018;22(6):1067-1075</w:t>
      </w:r>
    </w:p>
    <w:p w14:paraId="32D89A06" w14:textId="02B189F1" w:rsidR="00593E9D" w:rsidRPr="00404610" w:rsidRDefault="00593E9D" w:rsidP="00B31338">
      <w:pPr>
        <w:spacing w:line="360" w:lineRule="auto"/>
        <w:ind w:left="851" w:hanging="851"/>
        <w:rPr>
          <w:rFonts w:asciiTheme="minorHAnsi" w:hAnsiTheme="minorHAnsi" w:cstheme="minorBidi"/>
          <w:lang w:val="nl-NL"/>
        </w:rPr>
      </w:pPr>
      <w:r>
        <w:rPr>
          <w:rFonts w:asciiTheme="minorHAnsi" w:hAnsiTheme="minorHAnsi" w:cstheme="minorBidi"/>
        </w:rPr>
        <w:t>193.</w:t>
      </w:r>
      <w:r>
        <w:rPr>
          <w:rFonts w:asciiTheme="minorHAnsi" w:hAnsiTheme="minorHAnsi" w:cstheme="minorBidi"/>
        </w:rPr>
        <w:tab/>
      </w:r>
      <w:r w:rsidRPr="00593E9D">
        <w:rPr>
          <w:rFonts w:asciiTheme="minorHAnsi" w:hAnsiTheme="minorHAnsi" w:cstheme="minorBidi"/>
        </w:rPr>
        <w:t xml:space="preserve">Georgiou E, Schoina E, Markantonis SL, et al. Laparoscopic total extraperitoneal inguinal hernia repair: Retrospective study on prosthetic materials, postoperative management, and quality of life. </w:t>
      </w:r>
      <w:r w:rsidRPr="00404610">
        <w:rPr>
          <w:rFonts w:asciiTheme="minorHAnsi" w:hAnsiTheme="minorHAnsi" w:cstheme="minorBidi"/>
          <w:i/>
          <w:lang w:val="nl-NL"/>
        </w:rPr>
        <w:t>Medicine (Baltimore)</w:t>
      </w:r>
      <w:r w:rsidRPr="00404610">
        <w:rPr>
          <w:rFonts w:asciiTheme="minorHAnsi" w:hAnsiTheme="minorHAnsi" w:cstheme="minorBidi"/>
          <w:lang w:val="nl-NL"/>
        </w:rPr>
        <w:t xml:space="preserve"> 2018;97(52):e13974</w:t>
      </w:r>
    </w:p>
    <w:p w14:paraId="23B50110" w14:textId="6EA2423C" w:rsidR="00593E9D" w:rsidRDefault="00593E9D" w:rsidP="00B31338">
      <w:pPr>
        <w:spacing w:line="360" w:lineRule="auto"/>
        <w:ind w:left="851" w:hanging="851"/>
        <w:rPr>
          <w:rFonts w:asciiTheme="minorHAnsi" w:hAnsiTheme="minorHAnsi" w:cstheme="minorBidi"/>
        </w:rPr>
      </w:pPr>
      <w:r w:rsidRPr="00404610">
        <w:rPr>
          <w:rFonts w:asciiTheme="minorHAnsi" w:hAnsiTheme="minorHAnsi" w:cstheme="minorBidi"/>
          <w:lang w:val="nl-NL"/>
        </w:rPr>
        <w:t>194.</w:t>
      </w:r>
      <w:r w:rsidRPr="00404610">
        <w:rPr>
          <w:rFonts w:asciiTheme="minorHAnsi" w:hAnsiTheme="minorHAnsi" w:cstheme="minorBidi"/>
          <w:lang w:val="nl-NL"/>
        </w:rPr>
        <w:tab/>
      </w:r>
      <w:r w:rsidR="006B32EE" w:rsidRPr="00404610">
        <w:rPr>
          <w:rFonts w:asciiTheme="minorHAnsi" w:hAnsiTheme="minorHAnsi" w:cstheme="minorBidi"/>
          <w:lang w:val="nl-NL"/>
        </w:rPr>
        <w:t xml:space="preserve">van Rooijen MMJ, Jairam AP, Tollens T, et al. </w:t>
      </w:r>
      <w:r w:rsidR="006B32EE" w:rsidRPr="006B32EE">
        <w:rPr>
          <w:rFonts w:asciiTheme="minorHAnsi" w:hAnsiTheme="minorHAnsi" w:cstheme="minorBidi"/>
        </w:rPr>
        <w:t xml:space="preserve">A post-market, prospective, multi-center, single-arm clinical investigation of Phasix™ mesh for VHWG grade 3 midline incisional hernia repair: a research protocol. </w:t>
      </w:r>
      <w:r w:rsidR="006B32EE" w:rsidRPr="00CB6A96">
        <w:rPr>
          <w:rFonts w:asciiTheme="minorHAnsi" w:hAnsiTheme="minorHAnsi" w:cstheme="minorBidi"/>
          <w:i/>
        </w:rPr>
        <w:t>BMC Surg</w:t>
      </w:r>
      <w:r w:rsidR="006B32EE">
        <w:rPr>
          <w:rFonts w:asciiTheme="minorHAnsi" w:hAnsiTheme="minorHAnsi" w:cstheme="minorBidi"/>
        </w:rPr>
        <w:t xml:space="preserve"> </w:t>
      </w:r>
      <w:r w:rsidR="006B32EE" w:rsidRPr="006B32EE">
        <w:rPr>
          <w:rFonts w:asciiTheme="minorHAnsi" w:hAnsiTheme="minorHAnsi" w:cstheme="minorBidi"/>
        </w:rPr>
        <w:t>2018;18(1):104</w:t>
      </w:r>
    </w:p>
    <w:p w14:paraId="1B037394" w14:textId="0346906C" w:rsidR="006B32EE" w:rsidRPr="00404610" w:rsidRDefault="006B32EE" w:rsidP="00B31338">
      <w:pPr>
        <w:spacing w:line="360" w:lineRule="auto"/>
        <w:ind w:left="851" w:hanging="851"/>
        <w:rPr>
          <w:rFonts w:asciiTheme="minorHAnsi" w:hAnsiTheme="minorHAnsi" w:cstheme="minorBidi"/>
          <w:lang w:val="es-ES"/>
        </w:rPr>
      </w:pPr>
      <w:r>
        <w:rPr>
          <w:rFonts w:asciiTheme="minorHAnsi" w:hAnsiTheme="minorHAnsi" w:cstheme="minorBidi"/>
        </w:rPr>
        <w:t>195.</w:t>
      </w:r>
      <w:r>
        <w:rPr>
          <w:rFonts w:asciiTheme="minorHAnsi" w:hAnsiTheme="minorHAnsi" w:cstheme="minorBidi"/>
        </w:rPr>
        <w:tab/>
      </w:r>
      <w:r w:rsidR="0069295A" w:rsidRPr="0069295A">
        <w:rPr>
          <w:rFonts w:asciiTheme="minorHAnsi" w:hAnsiTheme="minorHAnsi" w:cstheme="minorBidi"/>
        </w:rPr>
        <w:t xml:space="preserve">Muysoms F, Van Cleven S, Pletinckx P, Ballecer C, Ramaswamy A. Robotic transabdominal retromuscular umbilical prosthetic hernia repair (TARUP): observational study on the operative time during the learning curve. </w:t>
      </w:r>
      <w:r w:rsidR="0069295A" w:rsidRPr="00404610">
        <w:rPr>
          <w:rFonts w:asciiTheme="minorHAnsi" w:hAnsiTheme="minorHAnsi" w:cstheme="minorBidi"/>
          <w:i/>
          <w:lang w:val="es-ES"/>
        </w:rPr>
        <w:t>Hernia</w:t>
      </w:r>
      <w:r w:rsidR="0069295A" w:rsidRPr="00404610">
        <w:rPr>
          <w:rFonts w:asciiTheme="minorHAnsi" w:hAnsiTheme="minorHAnsi" w:cstheme="minorBidi"/>
          <w:lang w:val="es-ES"/>
        </w:rPr>
        <w:t xml:space="preserve"> 2018;22(6):1101-1111</w:t>
      </w:r>
    </w:p>
    <w:p w14:paraId="5085CD22" w14:textId="68736078" w:rsidR="00D0487D" w:rsidRPr="00404610" w:rsidRDefault="00D0487D" w:rsidP="00B31338">
      <w:pPr>
        <w:spacing w:line="360" w:lineRule="auto"/>
        <w:ind w:left="851" w:hanging="851"/>
        <w:rPr>
          <w:rFonts w:asciiTheme="minorHAnsi" w:hAnsiTheme="minorHAnsi" w:cstheme="minorBidi"/>
          <w:lang w:val="fr-FR"/>
        </w:rPr>
      </w:pPr>
      <w:r w:rsidRPr="00CB6A96">
        <w:rPr>
          <w:rFonts w:asciiTheme="minorHAnsi" w:hAnsiTheme="minorHAnsi" w:cstheme="minorBidi"/>
          <w:lang w:val="es-ES"/>
        </w:rPr>
        <w:t>196.</w:t>
      </w:r>
      <w:r w:rsidRPr="00CB6A96">
        <w:rPr>
          <w:rFonts w:asciiTheme="minorHAnsi" w:hAnsiTheme="minorHAnsi" w:cstheme="minorBidi"/>
          <w:lang w:val="es-ES"/>
        </w:rPr>
        <w:tab/>
        <w:t xml:space="preserve">Ielpo B, Nuñez-Alfonsel J, Duran H, et al. </w:t>
      </w:r>
      <w:r w:rsidRPr="00D0487D">
        <w:rPr>
          <w:rFonts w:asciiTheme="minorHAnsi" w:hAnsiTheme="minorHAnsi" w:cstheme="minorBidi"/>
        </w:rPr>
        <w:t xml:space="preserve">Cost-effectiveness of Randomized Study of Laparoscopic Versus Open Bilateral Inguinal Hernia Repair. </w:t>
      </w:r>
      <w:r w:rsidRPr="00404610">
        <w:rPr>
          <w:rFonts w:asciiTheme="minorHAnsi" w:hAnsiTheme="minorHAnsi" w:cstheme="minorBidi"/>
          <w:i/>
          <w:lang w:val="fr-FR"/>
        </w:rPr>
        <w:t>Ann Surg</w:t>
      </w:r>
      <w:r w:rsidRPr="00404610">
        <w:rPr>
          <w:rFonts w:asciiTheme="minorHAnsi" w:hAnsiTheme="minorHAnsi" w:cstheme="minorBidi"/>
          <w:lang w:val="fr-FR"/>
        </w:rPr>
        <w:t xml:space="preserve"> 2018;268(5):725-730</w:t>
      </w:r>
    </w:p>
    <w:p w14:paraId="3B3F51EA" w14:textId="28799A6A" w:rsidR="00474350" w:rsidRPr="00404610" w:rsidRDefault="00474350" w:rsidP="00B31338">
      <w:pPr>
        <w:spacing w:line="360" w:lineRule="auto"/>
        <w:ind w:left="851" w:hanging="851"/>
        <w:rPr>
          <w:rFonts w:asciiTheme="minorHAnsi" w:hAnsiTheme="minorHAnsi" w:cstheme="minorBidi"/>
          <w:lang w:val="nl-NL"/>
        </w:rPr>
      </w:pPr>
      <w:r w:rsidRPr="00404610">
        <w:rPr>
          <w:rFonts w:asciiTheme="minorHAnsi" w:hAnsiTheme="minorHAnsi" w:cstheme="minorBidi"/>
          <w:lang w:val="fr-FR"/>
        </w:rPr>
        <w:t>197.</w:t>
      </w:r>
      <w:r w:rsidRPr="00404610">
        <w:rPr>
          <w:rFonts w:asciiTheme="minorHAnsi" w:hAnsiTheme="minorHAnsi" w:cstheme="minorBidi"/>
          <w:lang w:val="fr-FR"/>
        </w:rPr>
        <w:tab/>
        <w:t xml:space="preserve">Sheen AJ, Pilkington JJ, Baltatzis M, et al. </w:t>
      </w:r>
      <w:r w:rsidRPr="00474350">
        <w:rPr>
          <w:rFonts w:asciiTheme="minorHAnsi" w:hAnsiTheme="minorHAnsi" w:cstheme="minorBidi"/>
        </w:rPr>
        <w:t xml:space="preserve">Comparison of Mesh Fixation Techniques in Elective Laparoscopic Repair of Incisional Hernia-ReliaTack™ v ProTack™ (TACKoMesh) - A double-blind randomised controlled trial. </w:t>
      </w:r>
      <w:r w:rsidRPr="00404610">
        <w:rPr>
          <w:rFonts w:asciiTheme="minorHAnsi" w:hAnsiTheme="minorHAnsi" w:cstheme="minorBidi"/>
          <w:i/>
          <w:lang w:val="nl-NL"/>
        </w:rPr>
        <w:t>BMC Surg</w:t>
      </w:r>
      <w:r w:rsidRPr="00404610">
        <w:rPr>
          <w:rFonts w:asciiTheme="minorHAnsi" w:hAnsiTheme="minorHAnsi" w:cstheme="minorBidi"/>
          <w:lang w:val="nl-NL"/>
        </w:rPr>
        <w:t xml:space="preserve"> 2018;18(1):46</w:t>
      </w:r>
    </w:p>
    <w:p w14:paraId="2A6257BE" w14:textId="378D7802" w:rsidR="00474350" w:rsidRDefault="005F340C" w:rsidP="00B31338">
      <w:pPr>
        <w:spacing w:line="360" w:lineRule="auto"/>
        <w:ind w:left="851" w:hanging="851"/>
        <w:rPr>
          <w:rFonts w:asciiTheme="minorHAnsi" w:hAnsiTheme="minorHAnsi" w:cstheme="minorBidi"/>
        </w:rPr>
      </w:pPr>
      <w:r w:rsidRPr="00404610">
        <w:rPr>
          <w:rFonts w:asciiTheme="minorHAnsi" w:hAnsiTheme="minorHAnsi" w:cstheme="minorBidi"/>
          <w:lang w:val="nl-NL"/>
        </w:rPr>
        <w:t>198.</w:t>
      </w:r>
      <w:r w:rsidRPr="00404610">
        <w:rPr>
          <w:rFonts w:asciiTheme="minorHAnsi" w:hAnsiTheme="minorHAnsi" w:cstheme="minorBidi"/>
          <w:lang w:val="nl-NL"/>
        </w:rPr>
        <w:tab/>
        <w:t xml:space="preserve">Roos MM, Verleisdonk EMM, Sanders FBM, et al. </w:t>
      </w:r>
      <w:r w:rsidRPr="005F340C">
        <w:rPr>
          <w:rFonts w:asciiTheme="minorHAnsi" w:hAnsiTheme="minorHAnsi" w:cstheme="minorBidi"/>
        </w:rPr>
        <w:t xml:space="preserve">Effectiveness of endoscopic totally extraperitoneal (TEP) hernia correction for clinically occult inguinal hernia (EFFECT): study protocol for a randomized controlled trial. </w:t>
      </w:r>
      <w:r w:rsidRPr="00CB6A96">
        <w:rPr>
          <w:rFonts w:asciiTheme="minorHAnsi" w:hAnsiTheme="minorHAnsi" w:cstheme="minorBidi"/>
          <w:i/>
        </w:rPr>
        <w:t>Trials</w:t>
      </w:r>
      <w:r w:rsidRPr="005F340C">
        <w:rPr>
          <w:rFonts w:asciiTheme="minorHAnsi" w:hAnsiTheme="minorHAnsi" w:cstheme="minorBidi"/>
        </w:rPr>
        <w:t xml:space="preserve"> 2018;19(1):322</w:t>
      </w:r>
    </w:p>
    <w:p w14:paraId="5E717E2C" w14:textId="13623060" w:rsidR="00226524" w:rsidRDefault="00935C32" w:rsidP="00B31338">
      <w:pPr>
        <w:spacing w:line="360" w:lineRule="auto"/>
        <w:ind w:left="851" w:hanging="851"/>
        <w:rPr>
          <w:rFonts w:asciiTheme="minorHAnsi" w:hAnsiTheme="minorHAnsi" w:cstheme="minorBidi"/>
        </w:rPr>
      </w:pPr>
      <w:r>
        <w:rPr>
          <w:rFonts w:asciiTheme="minorHAnsi" w:hAnsiTheme="minorHAnsi" w:cstheme="minorBidi"/>
        </w:rPr>
        <w:t>199.</w:t>
      </w:r>
      <w:r>
        <w:rPr>
          <w:rFonts w:asciiTheme="minorHAnsi" w:hAnsiTheme="minorHAnsi" w:cstheme="minorBidi"/>
        </w:rPr>
        <w:tab/>
      </w:r>
      <w:r w:rsidRPr="00935C32">
        <w:rPr>
          <w:rFonts w:asciiTheme="minorHAnsi" w:hAnsiTheme="minorHAnsi" w:cstheme="minorBidi"/>
        </w:rPr>
        <w:t xml:space="preserve">Harsløf S, Krum-Møller P, Sommer T, Zinther N, Wara P, Friis-Andersen H. Effect of fixation devices on postoperative pain after laparoscopic ventral hernia repair: a randomized clinical trial of permanent tacks, absorbable tacks, and synthetic glue. </w:t>
      </w:r>
      <w:r w:rsidRPr="00CB6A96">
        <w:rPr>
          <w:rFonts w:asciiTheme="minorHAnsi" w:hAnsiTheme="minorHAnsi" w:cstheme="minorBidi"/>
          <w:i/>
        </w:rPr>
        <w:t>Langenbecks Arch Surg</w:t>
      </w:r>
      <w:r w:rsidRPr="00935C32">
        <w:rPr>
          <w:rFonts w:asciiTheme="minorHAnsi" w:hAnsiTheme="minorHAnsi" w:cstheme="minorBidi"/>
        </w:rPr>
        <w:t xml:space="preserve"> 2018;403(4):529-537</w:t>
      </w:r>
    </w:p>
    <w:p w14:paraId="019CDB44" w14:textId="252DA737" w:rsidR="00935C32" w:rsidRDefault="00935C32" w:rsidP="00B31338">
      <w:pPr>
        <w:spacing w:line="360" w:lineRule="auto"/>
        <w:ind w:left="851" w:hanging="851"/>
        <w:rPr>
          <w:rFonts w:asciiTheme="minorHAnsi" w:hAnsiTheme="minorHAnsi" w:cstheme="minorBidi"/>
        </w:rPr>
      </w:pPr>
      <w:r>
        <w:rPr>
          <w:rFonts w:asciiTheme="minorHAnsi" w:hAnsiTheme="minorHAnsi" w:cstheme="minorBidi"/>
        </w:rPr>
        <w:t>200.</w:t>
      </w:r>
      <w:r>
        <w:rPr>
          <w:rFonts w:asciiTheme="minorHAnsi" w:hAnsiTheme="minorHAnsi" w:cstheme="minorBidi"/>
        </w:rPr>
        <w:tab/>
      </w:r>
      <w:r w:rsidR="005D49B2" w:rsidRPr="005D49B2">
        <w:rPr>
          <w:rFonts w:asciiTheme="minorHAnsi" w:hAnsiTheme="minorHAnsi" w:cstheme="minorBidi"/>
        </w:rPr>
        <w:t xml:space="preserve">Mitura K, Garnysz K, Wyrzykowska D, Michałek I. The change in groin pain perception after transabdominal preperitoneal inguinal hernia repair with glue fixation: a prospective trial of a single surgeon's experience. </w:t>
      </w:r>
      <w:r w:rsidR="005D49B2" w:rsidRPr="00CB6A96">
        <w:rPr>
          <w:rFonts w:asciiTheme="minorHAnsi" w:hAnsiTheme="minorHAnsi" w:cstheme="minorBidi"/>
          <w:i/>
        </w:rPr>
        <w:t>Surg Endosc</w:t>
      </w:r>
      <w:r w:rsidR="005D49B2">
        <w:rPr>
          <w:rFonts w:asciiTheme="minorHAnsi" w:hAnsiTheme="minorHAnsi" w:cstheme="minorBidi"/>
        </w:rPr>
        <w:t xml:space="preserve"> </w:t>
      </w:r>
      <w:r w:rsidR="005D49B2" w:rsidRPr="005D49B2">
        <w:rPr>
          <w:rFonts w:asciiTheme="minorHAnsi" w:hAnsiTheme="minorHAnsi" w:cstheme="minorBidi"/>
        </w:rPr>
        <w:t>2018;32(10):4284-4289</w:t>
      </w:r>
    </w:p>
    <w:p w14:paraId="383F25BA" w14:textId="4EEA7754" w:rsidR="00122A28" w:rsidRDefault="005D49B2" w:rsidP="00B31338">
      <w:pPr>
        <w:spacing w:line="360" w:lineRule="auto"/>
        <w:ind w:left="851" w:hanging="851"/>
        <w:rPr>
          <w:rFonts w:asciiTheme="minorHAnsi" w:hAnsiTheme="minorHAnsi" w:cstheme="minorBidi"/>
        </w:rPr>
      </w:pPr>
      <w:r>
        <w:rPr>
          <w:rFonts w:asciiTheme="minorHAnsi" w:hAnsiTheme="minorHAnsi" w:cstheme="minorBidi"/>
        </w:rPr>
        <w:t>201.</w:t>
      </w:r>
      <w:r>
        <w:rPr>
          <w:rFonts w:asciiTheme="minorHAnsi" w:hAnsiTheme="minorHAnsi" w:cstheme="minorBidi"/>
        </w:rPr>
        <w:tab/>
      </w:r>
      <w:r w:rsidR="00256F4A" w:rsidRPr="00256F4A">
        <w:rPr>
          <w:rFonts w:asciiTheme="minorHAnsi" w:hAnsiTheme="minorHAnsi" w:cstheme="minorBidi"/>
        </w:rPr>
        <w:t xml:space="preserve">Rouet J, Bwelle G, Cauchy F, Masso-Misse P, Gaujoux S, Dousset B. Polyester mosquito net mesh for inguinal hernia repair: A feasible option in resource limited settings in Cameroon?. </w:t>
      </w:r>
      <w:r w:rsidR="00256F4A" w:rsidRPr="00CB6A96">
        <w:rPr>
          <w:rFonts w:asciiTheme="minorHAnsi" w:hAnsiTheme="minorHAnsi" w:cstheme="minorBidi"/>
          <w:i/>
        </w:rPr>
        <w:t>J Visc Surg</w:t>
      </w:r>
      <w:r w:rsidR="00256F4A" w:rsidRPr="00256F4A">
        <w:rPr>
          <w:rFonts w:asciiTheme="minorHAnsi" w:hAnsiTheme="minorHAnsi" w:cstheme="minorBidi"/>
        </w:rPr>
        <w:t xml:space="preserve"> 2018;155(2):111-116</w:t>
      </w:r>
    </w:p>
    <w:p w14:paraId="0E8A8F9D" w14:textId="2C3CA5EF" w:rsidR="006E1215" w:rsidRDefault="009C5E0E" w:rsidP="00B31338">
      <w:pPr>
        <w:spacing w:line="360" w:lineRule="auto"/>
        <w:ind w:left="851" w:hanging="851"/>
        <w:rPr>
          <w:rFonts w:asciiTheme="minorHAnsi" w:hAnsiTheme="minorHAnsi" w:cstheme="minorBidi"/>
        </w:rPr>
      </w:pPr>
      <w:r>
        <w:rPr>
          <w:rFonts w:asciiTheme="minorHAnsi" w:hAnsiTheme="minorHAnsi" w:cstheme="minorBidi"/>
        </w:rPr>
        <w:t>202.</w:t>
      </w:r>
      <w:r>
        <w:rPr>
          <w:rFonts w:asciiTheme="minorHAnsi" w:hAnsiTheme="minorHAnsi" w:cstheme="minorBidi"/>
        </w:rPr>
        <w:tab/>
      </w:r>
      <w:r w:rsidRPr="009C5E0E">
        <w:rPr>
          <w:rFonts w:asciiTheme="minorHAnsi" w:hAnsiTheme="minorHAnsi" w:cstheme="minorBidi"/>
        </w:rPr>
        <w:t xml:space="preserve">Roth JS, Anthone GJ, Selzer DJ, et al. Prospective evaluation of poly-4-hydroxybutyrate mesh in CDC class I/high-risk ventral and incisional hernia repair: 18-month follow-up. </w:t>
      </w:r>
      <w:r w:rsidRPr="00CB6A96">
        <w:rPr>
          <w:rFonts w:asciiTheme="minorHAnsi" w:hAnsiTheme="minorHAnsi" w:cstheme="minorBidi"/>
          <w:i/>
        </w:rPr>
        <w:t>Surg Endosc</w:t>
      </w:r>
      <w:r w:rsidRPr="009C5E0E">
        <w:rPr>
          <w:rFonts w:asciiTheme="minorHAnsi" w:hAnsiTheme="minorHAnsi" w:cstheme="minorBidi"/>
        </w:rPr>
        <w:t xml:space="preserve"> 2018;32(4):1929-1936</w:t>
      </w:r>
    </w:p>
    <w:p w14:paraId="12EB30CA" w14:textId="11A19A30" w:rsidR="00023BF7" w:rsidRPr="00CB6A96" w:rsidRDefault="00023BF7" w:rsidP="00B31338">
      <w:pPr>
        <w:spacing w:line="360" w:lineRule="auto"/>
        <w:ind w:left="851" w:hanging="851"/>
        <w:rPr>
          <w:rFonts w:asciiTheme="minorHAnsi" w:hAnsiTheme="minorHAnsi" w:cstheme="minorBidi"/>
          <w:lang w:val="es-ES"/>
        </w:rPr>
      </w:pPr>
      <w:r>
        <w:rPr>
          <w:rFonts w:asciiTheme="minorHAnsi" w:hAnsiTheme="minorHAnsi" w:cstheme="minorBidi"/>
        </w:rPr>
        <w:t>203.</w:t>
      </w:r>
      <w:r>
        <w:rPr>
          <w:rFonts w:asciiTheme="minorHAnsi" w:hAnsiTheme="minorHAnsi" w:cstheme="minorBidi"/>
        </w:rPr>
        <w:tab/>
      </w:r>
      <w:r w:rsidRPr="00023BF7">
        <w:rPr>
          <w:rFonts w:asciiTheme="minorHAnsi" w:hAnsiTheme="minorHAnsi" w:cstheme="minorBidi"/>
        </w:rPr>
        <w:t xml:space="preserve">Slooter GD, Zwaans WAR, Perquin CW, Roumen RMH, Scheltinga MRM. Laparoscopic mesh removal for otherwise intractable inguinal pain following endoscopic hernia repair is feasible, safe and may be effective in selected patients. </w:t>
      </w:r>
      <w:r w:rsidRPr="00CB6A96">
        <w:rPr>
          <w:rFonts w:asciiTheme="minorHAnsi" w:hAnsiTheme="minorHAnsi" w:cstheme="minorBidi"/>
          <w:i/>
          <w:lang w:val="es-ES"/>
        </w:rPr>
        <w:t>Surg Endosc</w:t>
      </w:r>
      <w:r w:rsidRPr="00CB6A96">
        <w:rPr>
          <w:rFonts w:asciiTheme="minorHAnsi" w:hAnsiTheme="minorHAnsi" w:cstheme="minorBidi"/>
          <w:lang w:val="es-ES"/>
        </w:rPr>
        <w:t xml:space="preserve"> 2018;32(3):1613-1619</w:t>
      </w:r>
    </w:p>
    <w:p w14:paraId="6EC81184" w14:textId="21896E43" w:rsidR="0079174D" w:rsidRDefault="00A06316" w:rsidP="00B86E8C">
      <w:pPr>
        <w:spacing w:line="360" w:lineRule="auto"/>
        <w:ind w:left="851" w:hanging="851"/>
        <w:rPr>
          <w:rFonts w:asciiTheme="minorHAnsi" w:hAnsiTheme="minorHAnsi" w:cstheme="minorBidi"/>
        </w:rPr>
      </w:pPr>
      <w:r w:rsidRPr="00CB6A96">
        <w:rPr>
          <w:rFonts w:asciiTheme="minorHAnsi" w:hAnsiTheme="minorHAnsi" w:cstheme="minorBidi"/>
          <w:lang w:val="es-ES"/>
        </w:rPr>
        <w:t>204.</w:t>
      </w:r>
      <w:r w:rsidRPr="00CB6A96">
        <w:rPr>
          <w:rFonts w:asciiTheme="minorHAnsi" w:hAnsiTheme="minorHAnsi" w:cstheme="minorBidi"/>
          <w:lang w:val="es-ES"/>
        </w:rPr>
        <w:tab/>
        <w:t xml:space="preserve">Cherla DV, Moses ML, Viso CP, et al. </w:t>
      </w:r>
      <w:r w:rsidRPr="00A06316">
        <w:rPr>
          <w:rFonts w:asciiTheme="minorHAnsi" w:hAnsiTheme="minorHAnsi" w:cstheme="minorBidi"/>
        </w:rPr>
        <w:t xml:space="preserve">Impact of Abdominal Wall Hernias and Repair on Patient Quality of Life. </w:t>
      </w:r>
      <w:r w:rsidRPr="00CB6A96">
        <w:rPr>
          <w:rFonts w:asciiTheme="minorHAnsi" w:hAnsiTheme="minorHAnsi" w:cstheme="minorBidi"/>
          <w:i/>
        </w:rPr>
        <w:t>World J Surg</w:t>
      </w:r>
      <w:r w:rsidRPr="00A06316">
        <w:rPr>
          <w:rFonts w:asciiTheme="minorHAnsi" w:hAnsiTheme="minorHAnsi" w:cstheme="minorBidi"/>
        </w:rPr>
        <w:t xml:space="preserve"> 2018;42(1):19-25</w:t>
      </w:r>
    </w:p>
    <w:p w14:paraId="33C77A7D" w14:textId="07BFC787" w:rsidR="00A06316" w:rsidRPr="00404610" w:rsidRDefault="003B108C" w:rsidP="00B86E8C">
      <w:pPr>
        <w:spacing w:line="360" w:lineRule="auto"/>
        <w:ind w:left="851" w:hanging="851"/>
        <w:rPr>
          <w:rFonts w:asciiTheme="minorHAnsi" w:hAnsiTheme="minorHAnsi" w:cstheme="minorBidi"/>
          <w:lang w:val="es-ES"/>
        </w:rPr>
      </w:pPr>
      <w:r>
        <w:rPr>
          <w:rFonts w:asciiTheme="minorHAnsi" w:hAnsiTheme="minorHAnsi" w:cstheme="minorBidi"/>
        </w:rPr>
        <w:t>205.</w:t>
      </w:r>
      <w:r>
        <w:rPr>
          <w:rFonts w:asciiTheme="minorHAnsi" w:hAnsiTheme="minorHAnsi" w:cstheme="minorBidi"/>
        </w:rPr>
        <w:tab/>
      </w:r>
      <w:r w:rsidRPr="003B108C">
        <w:rPr>
          <w:rFonts w:asciiTheme="minorHAnsi" w:hAnsiTheme="minorHAnsi" w:cstheme="minorBidi"/>
        </w:rPr>
        <w:t xml:space="preserve">Bona S, Rosati R, Opocher E, Fiore B, Montorsi M; SUPERMESH Study Group. Pain and quality of life after inguinal hernia surgery: a multicenter randomized controlled trial comparing lightweight vs heavyweight mesh (Supermesh Study). </w:t>
      </w:r>
      <w:r w:rsidRPr="00404610">
        <w:rPr>
          <w:rFonts w:asciiTheme="minorHAnsi" w:hAnsiTheme="minorHAnsi" w:cstheme="minorBidi"/>
          <w:i/>
          <w:lang w:val="es-ES"/>
        </w:rPr>
        <w:t>Updates Surg</w:t>
      </w:r>
      <w:r w:rsidRPr="00404610">
        <w:rPr>
          <w:rFonts w:asciiTheme="minorHAnsi" w:hAnsiTheme="minorHAnsi" w:cstheme="minorBidi"/>
          <w:lang w:val="es-ES"/>
        </w:rPr>
        <w:t xml:space="preserve"> 2018;70(1):77-83</w:t>
      </w:r>
    </w:p>
    <w:p w14:paraId="47961FF1" w14:textId="31344508" w:rsidR="0085243C" w:rsidRPr="00404610" w:rsidRDefault="0085243C" w:rsidP="00B86E8C">
      <w:pPr>
        <w:spacing w:line="360" w:lineRule="auto"/>
        <w:ind w:left="851" w:hanging="851"/>
        <w:rPr>
          <w:rFonts w:asciiTheme="minorHAnsi" w:hAnsiTheme="minorHAnsi" w:cstheme="minorBidi"/>
          <w:lang w:val="nl-NL"/>
        </w:rPr>
      </w:pPr>
      <w:r w:rsidRPr="00CB6A96">
        <w:rPr>
          <w:rFonts w:asciiTheme="minorHAnsi" w:hAnsiTheme="minorHAnsi" w:cstheme="minorBidi"/>
          <w:lang w:val="es-ES"/>
        </w:rPr>
        <w:t>206.</w:t>
      </w:r>
      <w:r w:rsidRPr="00CB6A96">
        <w:rPr>
          <w:rFonts w:asciiTheme="minorHAnsi" w:hAnsiTheme="minorHAnsi" w:cstheme="minorBidi"/>
          <w:lang w:val="es-ES"/>
        </w:rPr>
        <w:tab/>
        <w:t xml:space="preserve">Ielpo B, Duran H, Diaz E, et al. </w:t>
      </w:r>
      <w:r w:rsidRPr="0085243C">
        <w:rPr>
          <w:rFonts w:asciiTheme="minorHAnsi" w:hAnsiTheme="minorHAnsi" w:cstheme="minorBidi"/>
        </w:rPr>
        <w:t xml:space="preserve">A prospective randomized study comparing laparoscopic transabdominal preperitoneal (TAPP) versus Lichtenstein repair for bilateral inguinal hernias. </w:t>
      </w:r>
      <w:r w:rsidRPr="00404610">
        <w:rPr>
          <w:rFonts w:asciiTheme="minorHAnsi" w:hAnsiTheme="minorHAnsi" w:cstheme="minorBidi"/>
          <w:i/>
          <w:lang w:val="nl-NL"/>
        </w:rPr>
        <w:t>Am J Surg</w:t>
      </w:r>
      <w:r w:rsidRPr="00404610">
        <w:rPr>
          <w:rFonts w:asciiTheme="minorHAnsi" w:hAnsiTheme="minorHAnsi" w:cstheme="minorBidi"/>
          <w:lang w:val="nl-NL"/>
        </w:rPr>
        <w:t xml:space="preserve"> 2018;216(1):78-83</w:t>
      </w:r>
    </w:p>
    <w:p w14:paraId="34A8CC5E" w14:textId="1B7CA08B" w:rsidR="0085243C" w:rsidRDefault="0085243C" w:rsidP="00B86E8C">
      <w:pPr>
        <w:spacing w:line="360" w:lineRule="auto"/>
        <w:ind w:left="851" w:hanging="851"/>
        <w:rPr>
          <w:rFonts w:asciiTheme="minorHAnsi" w:hAnsiTheme="minorHAnsi" w:cstheme="minorBidi"/>
        </w:rPr>
      </w:pPr>
      <w:r w:rsidRPr="00404610">
        <w:rPr>
          <w:rFonts w:asciiTheme="minorHAnsi" w:hAnsiTheme="minorHAnsi" w:cstheme="minorBidi"/>
          <w:lang w:val="nl-NL"/>
        </w:rPr>
        <w:t>207.</w:t>
      </w:r>
      <w:r w:rsidRPr="00404610">
        <w:rPr>
          <w:rFonts w:asciiTheme="minorHAnsi" w:hAnsiTheme="minorHAnsi" w:cstheme="minorBidi"/>
          <w:lang w:val="nl-NL"/>
        </w:rPr>
        <w:tab/>
      </w:r>
      <w:r w:rsidR="00125CCF" w:rsidRPr="00404610">
        <w:rPr>
          <w:rFonts w:asciiTheme="minorHAnsi" w:hAnsiTheme="minorHAnsi" w:cstheme="minorBidi"/>
          <w:lang w:val="nl-NL"/>
        </w:rPr>
        <w:t xml:space="preserve">de Goede B, Wijsmuller AR, van Ramshorst GH, et al. </w:t>
      </w:r>
      <w:r w:rsidR="00125CCF" w:rsidRPr="00125CCF">
        <w:rPr>
          <w:rFonts w:asciiTheme="minorHAnsi" w:hAnsiTheme="minorHAnsi" w:cstheme="minorBidi"/>
        </w:rPr>
        <w:t xml:space="preserve">Watchful Waiting Versus Surgery of Mildly Symptomatic or Asymptomatic Inguinal Hernia in Men Aged 50 Years and Older: A Randomized Controlled Trial. </w:t>
      </w:r>
      <w:r w:rsidR="00125CCF" w:rsidRPr="00CB6A96">
        <w:rPr>
          <w:rFonts w:asciiTheme="minorHAnsi" w:hAnsiTheme="minorHAnsi" w:cstheme="minorBidi"/>
          <w:i/>
        </w:rPr>
        <w:t>Ann Surg</w:t>
      </w:r>
      <w:r w:rsidR="00125CCF" w:rsidRPr="00125CCF">
        <w:rPr>
          <w:rFonts w:asciiTheme="minorHAnsi" w:hAnsiTheme="minorHAnsi" w:cstheme="minorBidi"/>
        </w:rPr>
        <w:t xml:space="preserve"> 2018;267(1):42-49</w:t>
      </w:r>
    </w:p>
    <w:p w14:paraId="6B324149" w14:textId="6AFE26F4" w:rsidR="00B104A6" w:rsidRDefault="00B104A6" w:rsidP="00B86E8C">
      <w:pPr>
        <w:spacing w:line="360" w:lineRule="auto"/>
        <w:ind w:left="851" w:hanging="851"/>
        <w:rPr>
          <w:rFonts w:asciiTheme="minorHAnsi" w:hAnsiTheme="minorHAnsi" w:cstheme="minorBidi"/>
        </w:rPr>
      </w:pPr>
      <w:r>
        <w:rPr>
          <w:rFonts w:asciiTheme="minorHAnsi" w:hAnsiTheme="minorHAnsi" w:cstheme="minorBidi"/>
        </w:rPr>
        <w:t>208.</w:t>
      </w:r>
      <w:r>
        <w:rPr>
          <w:rFonts w:asciiTheme="minorHAnsi" w:hAnsiTheme="minorHAnsi" w:cstheme="minorBidi"/>
        </w:rPr>
        <w:tab/>
      </w:r>
      <w:r w:rsidRPr="00B104A6">
        <w:rPr>
          <w:rFonts w:asciiTheme="minorHAnsi" w:hAnsiTheme="minorHAnsi" w:cstheme="minorBidi"/>
        </w:rPr>
        <w:t xml:space="preserve">Sun P, Cheng X, Deng S, Hu Q, Sun Y, Zheng Q. Mesh fixation with glue versus suture for chronic pain and recurrence in Lichtenstein inguinal hernioplasty. </w:t>
      </w:r>
      <w:r w:rsidRPr="00CB6A96">
        <w:rPr>
          <w:rFonts w:asciiTheme="minorHAnsi" w:hAnsiTheme="minorHAnsi" w:cstheme="minorBidi"/>
          <w:i/>
        </w:rPr>
        <w:t>Cochrane Database Syst Rev</w:t>
      </w:r>
      <w:r w:rsidRPr="00B104A6">
        <w:rPr>
          <w:rFonts w:asciiTheme="minorHAnsi" w:hAnsiTheme="minorHAnsi" w:cstheme="minorBidi"/>
        </w:rPr>
        <w:t xml:space="preserve"> 2017;2(2):CD010814</w:t>
      </w:r>
    </w:p>
    <w:p w14:paraId="06E1A89C" w14:textId="6D768F00" w:rsidR="0015705A" w:rsidRPr="00404610" w:rsidRDefault="00B104A6" w:rsidP="0015705A">
      <w:pPr>
        <w:spacing w:line="360" w:lineRule="auto"/>
        <w:ind w:left="851" w:hanging="851"/>
        <w:rPr>
          <w:rFonts w:asciiTheme="minorHAnsi" w:hAnsiTheme="minorHAnsi" w:cstheme="minorBidi"/>
          <w:lang w:val="es-ES"/>
        </w:rPr>
      </w:pPr>
      <w:r>
        <w:rPr>
          <w:rFonts w:asciiTheme="minorHAnsi" w:hAnsiTheme="minorHAnsi" w:cstheme="minorBidi"/>
        </w:rPr>
        <w:t>209.</w:t>
      </w:r>
      <w:r>
        <w:rPr>
          <w:rFonts w:asciiTheme="minorHAnsi" w:hAnsiTheme="minorHAnsi" w:cstheme="minorBidi"/>
        </w:rPr>
        <w:tab/>
      </w:r>
      <w:r w:rsidR="0015705A" w:rsidRPr="0015705A">
        <w:rPr>
          <w:rFonts w:asciiTheme="minorHAnsi" w:hAnsiTheme="minorHAnsi" w:cstheme="minorBidi"/>
        </w:rPr>
        <w:t>Lederhuber H, Stiede F, Axer S, Dahlstrand U. Mesh fixation in endoscopic inguinal hernia repair: evaluation of methodology based on a systematic review of randomised clinical trials. </w:t>
      </w:r>
      <w:r w:rsidR="0015705A" w:rsidRPr="00404610">
        <w:rPr>
          <w:rFonts w:asciiTheme="minorHAnsi" w:hAnsiTheme="minorHAnsi" w:cstheme="minorBidi"/>
          <w:i/>
          <w:lang w:val="es-ES"/>
        </w:rPr>
        <w:t>Surg Endosc</w:t>
      </w:r>
      <w:r w:rsidR="0015705A" w:rsidRPr="00404610">
        <w:rPr>
          <w:rFonts w:asciiTheme="minorHAnsi" w:hAnsiTheme="minorHAnsi" w:cstheme="minorBidi"/>
          <w:lang w:val="es-ES"/>
        </w:rPr>
        <w:t xml:space="preserve"> 2017;31(11):4370-4381</w:t>
      </w:r>
    </w:p>
    <w:p w14:paraId="0457C798" w14:textId="27449AC9" w:rsidR="0015705A" w:rsidRPr="0015705A" w:rsidRDefault="0015705A" w:rsidP="0015705A">
      <w:pPr>
        <w:spacing w:line="360" w:lineRule="auto"/>
        <w:ind w:left="851" w:hanging="851"/>
        <w:rPr>
          <w:rFonts w:asciiTheme="minorHAnsi" w:hAnsiTheme="minorHAnsi" w:cstheme="minorBidi"/>
        </w:rPr>
      </w:pPr>
      <w:r w:rsidRPr="00CB6A96">
        <w:rPr>
          <w:rFonts w:asciiTheme="minorHAnsi" w:hAnsiTheme="minorHAnsi" w:cstheme="minorBidi"/>
          <w:lang w:val="es-ES"/>
        </w:rPr>
        <w:t>210.</w:t>
      </w:r>
      <w:r w:rsidRPr="00CB6A96">
        <w:rPr>
          <w:rFonts w:asciiTheme="minorHAnsi" w:hAnsiTheme="minorHAnsi" w:cstheme="minorBidi"/>
          <w:lang w:val="es-ES"/>
        </w:rPr>
        <w:tab/>
      </w:r>
      <w:r w:rsidR="00942382" w:rsidRPr="00CB6A96">
        <w:rPr>
          <w:rFonts w:asciiTheme="minorHAnsi" w:hAnsiTheme="minorHAnsi" w:cstheme="minorBidi"/>
          <w:lang w:val="es-ES"/>
        </w:rPr>
        <w:t xml:space="preserve">Koju R, Koju RB, Malla B, Dongol Y, Thapa LB. </w:t>
      </w:r>
      <w:r w:rsidR="00942382" w:rsidRPr="00942382">
        <w:rPr>
          <w:rFonts w:asciiTheme="minorHAnsi" w:hAnsiTheme="minorHAnsi" w:cstheme="minorBidi"/>
        </w:rPr>
        <w:t xml:space="preserve">Transabdominal Pre-peritoneal Mesh Repair versus Lichtenstein's Hernioplasty. </w:t>
      </w:r>
      <w:r w:rsidR="00942382" w:rsidRPr="00CB6A96">
        <w:rPr>
          <w:rFonts w:asciiTheme="minorHAnsi" w:hAnsiTheme="minorHAnsi" w:cstheme="minorBidi"/>
          <w:i/>
        </w:rPr>
        <w:t>J Nepal Health Res Counc</w:t>
      </w:r>
      <w:r w:rsidR="00942382">
        <w:rPr>
          <w:rFonts w:asciiTheme="minorHAnsi" w:hAnsiTheme="minorHAnsi" w:cstheme="minorBidi"/>
        </w:rPr>
        <w:t xml:space="preserve"> </w:t>
      </w:r>
      <w:r w:rsidR="00942382" w:rsidRPr="00942382">
        <w:rPr>
          <w:rFonts w:asciiTheme="minorHAnsi" w:hAnsiTheme="minorHAnsi" w:cstheme="minorBidi"/>
        </w:rPr>
        <w:t>2017;15(2):135-140</w:t>
      </w:r>
    </w:p>
    <w:p w14:paraId="23C7DEC4" w14:textId="514C8742" w:rsidR="00E547FC" w:rsidRDefault="00B3312B" w:rsidP="00B86E8C">
      <w:pPr>
        <w:spacing w:line="360" w:lineRule="auto"/>
        <w:ind w:left="851" w:hanging="851"/>
        <w:rPr>
          <w:rFonts w:asciiTheme="minorHAnsi" w:hAnsiTheme="minorHAnsi" w:cstheme="minorBidi"/>
        </w:rPr>
      </w:pPr>
      <w:r>
        <w:rPr>
          <w:rFonts w:asciiTheme="minorHAnsi" w:hAnsiTheme="minorHAnsi" w:cstheme="minorBidi"/>
        </w:rPr>
        <w:t>211.</w:t>
      </w:r>
      <w:r>
        <w:rPr>
          <w:rFonts w:asciiTheme="minorHAnsi" w:hAnsiTheme="minorHAnsi" w:cstheme="minorBidi"/>
        </w:rPr>
        <w:tab/>
      </w:r>
      <w:r w:rsidRPr="00B3312B">
        <w:rPr>
          <w:rFonts w:asciiTheme="minorHAnsi" w:hAnsiTheme="minorHAnsi" w:cstheme="minorBidi"/>
        </w:rPr>
        <w:t xml:space="preserve">Kushwaha JK, Enny LE, Anand A, Sonkar AA, Kumar A, Pahwa HS. A Prospective Randomized Controlled Trial Comparing Quality of Life Following Endoscopic Totally Extraperitoneal (TEP) Versus Open Stoppa Inguinal Hernioplasty. </w:t>
      </w:r>
      <w:r w:rsidRPr="00CB6A96">
        <w:rPr>
          <w:rFonts w:asciiTheme="minorHAnsi" w:hAnsiTheme="minorHAnsi" w:cstheme="minorBidi"/>
          <w:i/>
        </w:rPr>
        <w:t>Surg Laparosc Endosc Percutan Tech</w:t>
      </w:r>
      <w:r w:rsidRPr="00B3312B">
        <w:rPr>
          <w:rFonts w:asciiTheme="minorHAnsi" w:hAnsiTheme="minorHAnsi" w:cstheme="minorBidi"/>
        </w:rPr>
        <w:t xml:space="preserve"> 2017;27(4):257-261</w:t>
      </w:r>
    </w:p>
    <w:p w14:paraId="1630FE6B" w14:textId="1275BCED" w:rsidR="001A7500" w:rsidRPr="00404610" w:rsidRDefault="00A5102A" w:rsidP="001A7500">
      <w:pPr>
        <w:spacing w:line="360" w:lineRule="auto"/>
        <w:ind w:left="851" w:hanging="851"/>
        <w:rPr>
          <w:rFonts w:asciiTheme="minorHAnsi" w:hAnsiTheme="minorHAnsi" w:cstheme="minorBidi"/>
          <w:lang w:val="es-ES"/>
        </w:rPr>
      </w:pPr>
      <w:r>
        <w:rPr>
          <w:rFonts w:asciiTheme="minorHAnsi" w:hAnsiTheme="minorHAnsi" w:cstheme="minorBidi"/>
        </w:rPr>
        <w:t>212.</w:t>
      </w:r>
      <w:r>
        <w:tab/>
      </w:r>
      <w:r w:rsidR="001A7500" w:rsidRPr="001A7500">
        <w:rPr>
          <w:rFonts w:asciiTheme="minorHAnsi" w:hAnsiTheme="minorHAnsi" w:cstheme="minorBidi"/>
        </w:rPr>
        <w:t>Jensen KK. Recovery after abdominal wall reconstruction. </w:t>
      </w:r>
      <w:r w:rsidR="001A7500" w:rsidRPr="00404610">
        <w:rPr>
          <w:rFonts w:asciiTheme="minorHAnsi" w:hAnsiTheme="minorHAnsi" w:cstheme="minorBidi"/>
          <w:i/>
          <w:lang w:val="es-ES"/>
        </w:rPr>
        <w:t>Dan Med J</w:t>
      </w:r>
      <w:r w:rsidR="001A7500" w:rsidRPr="00404610">
        <w:rPr>
          <w:rFonts w:asciiTheme="minorHAnsi" w:hAnsiTheme="minorHAnsi" w:cstheme="minorBidi"/>
          <w:lang w:val="es-ES"/>
        </w:rPr>
        <w:t xml:space="preserve"> 2017;64(3):B5349</w:t>
      </w:r>
    </w:p>
    <w:p w14:paraId="3B789850" w14:textId="5DB558A9" w:rsidR="0067246F" w:rsidRPr="00404610" w:rsidRDefault="0067246F" w:rsidP="0067246F">
      <w:pPr>
        <w:spacing w:line="360" w:lineRule="auto"/>
        <w:ind w:left="851" w:hanging="851"/>
        <w:rPr>
          <w:rFonts w:asciiTheme="minorHAnsi" w:hAnsiTheme="minorHAnsi" w:cstheme="minorBidi"/>
          <w:lang w:val="fr-FR"/>
        </w:rPr>
      </w:pPr>
      <w:r w:rsidRPr="00CB6A96">
        <w:rPr>
          <w:rFonts w:asciiTheme="minorHAnsi" w:hAnsiTheme="minorHAnsi" w:cstheme="minorBidi"/>
          <w:lang w:val="es-ES"/>
        </w:rPr>
        <w:t>213.</w:t>
      </w:r>
      <w:r w:rsidRPr="00404610">
        <w:rPr>
          <w:lang w:val="es-ES"/>
        </w:rPr>
        <w:tab/>
      </w:r>
      <w:r w:rsidRPr="00CB6A96">
        <w:rPr>
          <w:rFonts w:asciiTheme="minorHAnsi" w:hAnsiTheme="minorHAnsi" w:cstheme="minorBidi"/>
          <w:lang w:val="es-ES"/>
        </w:rPr>
        <w:t xml:space="preserve">Molegraaf MJ, Grotenhuis B, Torensma B, de Ridder V, Lange JF, Swank DJ. </w:t>
      </w:r>
      <w:r w:rsidRPr="0067246F">
        <w:rPr>
          <w:rFonts w:asciiTheme="minorHAnsi" w:hAnsiTheme="minorHAnsi" w:cstheme="minorBidi"/>
        </w:rPr>
        <w:t>The HIPPO Trial, a Randomized Double-blind Trial Comparing Self-gripping Parietex Progrip Mesh and Sutured Parietex Mesh in Lichtenstein Hernioplasty: A Long-term Follow-up Study. </w:t>
      </w:r>
      <w:r w:rsidRPr="00404610">
        <w:rPr>
          <w:rFonts w:asciiTheme="minorHAnsi" w:hAnsiTheme="minorHAnsi" w:cstheme="minorBidi"/>
          <w:i/>
          <w:lang w:val="fr-FR"/>
        </w:rPr>
        <w:t>Ann Surg</w:t>
      </w:r>
      <w:r w:rsidRPr="00404610">
        <w:rPr>
          <w:rFonts w:asciiTheme="minorHAnsi" w:hAnsiTheme="minorHAnsi" w:cstheme="minorBidi"/>
          <w:lang w:val="fr-FR"/>
        </w:rPr>
        <w:t xml:space="preserve"> 2017;266(6):939-945</w:t>
      </w:r>
    </w:p>
    <w:p w14:paraId="29872C38" w14:textId="57C87E7B" w:rsidR="0076171F" w:rsidRPr="00CB6A96" w:rsidRDefault="0067246F" w:rsidP="0076171F">
      <w:pPr>
        <w:spacing w:line="360" w:lineRule="auto"/>
        <w:ind w:left="851" w:hanging="851"/>
        <w:rPr>
          <w:rFonts w:asciiTheme="minorHAnsi" w:hAnsiTheme="minorHAnsi" w:cstheme="minorBidi"/>
          <w:lang w:val="es-ES"/>
        </w:rPr>
      </w:pPr>
      <w:r w:rsidRPr="00404610">
        <w:rPr>
          <w:rFonts w:asciiTheme="minorHAnsi" w:hAnsiTheme="minorHAnsi" w:cstheme="minorBidi"/>
          <w:lang w:val="fr-FR"/>
        </w:rPr>
        <w:t>214.</w:t>
      </w:r>
      <w:r w:rsidRPr="00404610">
        <w:rPr>
          <w:rFonts w:asciiTheme="minorHAnsi" w:hAnsiTheme="minorHAnsi" w:cstheme="minorBidi"/>
          <w:lang w:val="fr-FR"/>
        </w:rPr>
        <w:tab/>
      </w:r>
      <w:r w:rsidR="0076171F" w:rsidRPr="00404610">
        <w:rPr>
          <w:rFonts w:asciiTheme="minorHAnsi" w:hAnsiTheme="minorHAnsi" w:cstheme="minorBidi"/>
          <w:lang w:val="fr-FR"/>
        </w:rPr>
        <w:t xml:space="preserve">Löfgren J, Matovu A, Wladis A, et al. </w:t>
      </w:r>
      <w:r w:rsidR="0076171F" w:rsidRPr="0076171F">
        <w:rPr>
          <w:rFonts w:asciiTheme="minorHAnsi" w:hAnsiTheme="minorHAnsi" w:cstheme="minorBidi"/>
        </w:rPr>
        <w:t>Cost-effectiveness of groin hernia repair from a randomized clinical trial comparing commercial versus low-cost mesh in a low-income country. </w:t>
      </w:r>
      <w:r w:rsidR="0076171F" w:rsidRPr="00CB6A96">
        <w:rPr>
          <w:rFonts w:asciiTheme="minorHAnsi" w:hAnsiTheme="minorHAnsi" w:cstheme="minorBidi"/>
          <w:i/>
          <w:lang w:val="es-ES"/>
        </w:rPr>
        <w:t>Br J Surg</w:t>
      </w:r>
      <w:r w:rsidR="0076171F" w:rsidRPr="00CB6A96">
        <w:rPr>
          <w:rFonts w:asciiTheme="minorHAnsi" w:hAnsiTheme="minorHAnsi" w:cstheme="minorBidi"/>
          <w:lang w:val="es-ES"/>
        </w:rPr>
        <w:t xml:space="preserve"> 2017;104(6):695-703</w:t>
      </w:r>
    </w:p>
    <w:p w14:paraId="165D749A" w14:textId="28B45BFD" w:rsidR="00803243" w:rsidRDefault="0076171F" w:rsidP="00803243">
      <w:pPr>
        <w:spacing w:line="360" w:lineRule="auto"/>
        <w:ind w:left="851" w:hanging="851"/>
        <w:rPr>
          <w:rFonts w:asciiTheme="minorHAnsi" w:hAnsiTheme="minorHAnsi" w:cstheme="minorBidi"/>
        </w:rPr>
      </w:pPr>
      <w:r w:rsidRPr="00CB6A96">
        <w:rPr>
          <w:rFonts w:asciiTheme="minorHAnsi" w:hAnsiTheme="minorHAnsi" w:cstheme="minorBidi"/>
          <w:lang w:val="es-ES"/>
        </w:rPr>
        <w:t>215.</w:t>
      </w:r>
      <w:r w:rsidRPr="00CB6A96">
        <w:rPr>
          <w:rFonts w:asciiTheme="minorHAnsi" w:hAnsiTheme="minorHAnsi" w:cstheme="minorBidi"/>
          <w:lang w:val="es-ES"/>
        </w:rPr>
        <w:tab/>
      </w:r>
      <w:r w:rsidR="00803243" w:rsidRPr="00CB6A96">
        <w:rPr>
          <w:rFonts w:asciiTheme="minorHAnsi" w:hAnsiTheme="minorHAnsi" w:cstheme="minorBidi"/>
          <w:lang w:val="es-ES"/>
        </w:rPr>
        <w:t xml:space="preserve">Čadanová D, van Dijk JP, Mollen RMHG. </w:t>
      </w:r>
      <w:r w:rsidR="00803243" w:rsidRPr="00803243">
        <w:rPr>
          <w:rFonts w:asciiTheme="minorHAnsi" w:hAnsiTheme="minorHAnsi" w:cstheme="minorBidi"/>
        </w:rPr>
        <w:t>The transinguinal preperitoneal technique (TIPP) in inguinal hernia repair does not cause less chronic pain in relation to the ProGrip technique: a prospective double-blind randomized clinical trial comparing the TIPP technique, using the PolySoft mesh, with the ProGrip self-fixing semi-resorbable mesh. </w:t>
      </w:r>
      <w:r w:rsidR="00803243" w:rsidRPr="00803243">
        <w:rPr>
          <w:rFonts w:asciiTheme="minorHAnsi" w:hAnsiTheme="minorHAnsi" w:cstheme="minorBidi"/>
          <w:i/>
          <w:iCs/>
        </w:rPr>
        <w:t>Hernia</w:t>
      </w:r>
      <w:r w:rsidR="00803243">
        <w:rPr>
          <w:rFonts w:asciiTheme="minorHAnsi" w:hAnsiTheme="minorHAnsi" w:cstheme="minorBidi"/>
        </w:rPr>
        <w:t xml:space="preserve"> </w:t>
      </w:r>
      <w:r w:rsidR="00803243" w:rsidRPr="00803243">
        <w:rPr>
          <w:rFonts w:asciiTheme="minorHAnsi" w:hAnsiTheme="minorHAnsi" w:cstheme="minorBidi"/>
        </w:rPr>
        <w:t>2017;21(1):17-27</w:t>
      </w:r>
    </w:p>
    <w:p w14:paraId="28115156" w14:textId="11C6ED48" w:rsidR="00024FDE" w:rsidRDefault="00024FDE" w:rsidP="00803243">
      <w:pPr>
        <w:spacing w:line="360" w:lineRule="auto"/>
        <w:ind w:left="851" w:hanging="851"/>
        <w:rPr>
          <w:rFonts w:asciiTheme="minorHAnsi" w:hAnsiTheme="minorHAnsi" w:cstheme="minorBidi"/>
        </w:rPr>
      </w:pPr>
      <w:r>
        <w:rPr>
          <w:rFonts w:asciiTheme="minorHAnsi" w:hAnsiTheme="minorHAnsi" w:cstheme="minorBidi"/>
        </w:rPr>
        <w:t>216.</w:t>
      </w:r>
      <w:r>
        <w:rPr>
          <w:rFonts w:asciiTheme="minorHAnsi" w:hAnsiTheme="minorHAnsi" w:cstheme="minorBidi"/>
        </w:rPr>
        <w:tab/>
      </w:r>
      <w:r w:rsidR="003E5A5E" w:rsidRPr="003E5A5E">
        <w:rPr>
          <w:rFonts w:asciiTheme="minorHAnsi" w:hAnsiTheme="minorHAnsi" w:cstheme="minorBidi"/>
        </w:rPr>
        <w:t xml:space="preserve">Bansal VK, Krishna A, Manek P, et al. A prospective randomized comparison of testicular functions, sexual functions and quality of life following laparoscopic totally extra-peritoneal (TEP) and trans-abdominal pre-peritoneal (TAPP) inguinal hernia repairs. </w:t>
      </w:r>
      <w:r w:rsidR="003E5A5E" w:rsidRPr="00CB6A96">
        <w:rPr>
          <w:rFonts w:asciiTheme="minorHAnsi" w:hAnsiTheme="minorHAnsi" w:cstheme="minorBidi"/>
          <w:i/>
        </w:rPr>
        <w:t>Surg Endosc</w:t>
      </w:r>
      <w:r w:rsidR="003E5A5E" w:rsidRPr="003E5A5E">
        <w:rPr>
          <w:rFonts w:asciiTheme="minorHAnsi" w:hAnsiTheme="minorHAnsi" w:cstheme="minorBidi"/>
        </w:rPr>
        <w:t xml:space="preserve"> 2017;31(3):1478-1486</w:t>
      </w:r>
    </w:p>
    <w:p w14:paraId="0FE66AFB" w14:textId="15CFAD1A" w:rsidR="00CB7261" w:rsidRDefault="00565E43" w:rsidP="00CB7261">
      <w:pPr>
        <w:spacing w:line="360" w:lineRule="auto"/>
        <w:ind w:left="851" w:hanging="851"/>
        <w:rPr>
          <w:rFonts w:asciiTheme="minorHAnsi" w:hAnsiTheme="minorHAnsi" w:cstheme="minorBidi"/>
        </w:rPr>
      </w:pPr>
      <w:r>
        <w:rPr>
          <w:rFonts w:asciiTheme="minorHAnsi" w:hAnsiTheme="minorHAnsi" w:cstheme="minorBidi"/>
        </w:rPr>
        <w:t>217.</w:t>
      </w:r>
      <w:r>
        <w:tab/>
      </w:r>
      <w:r w:rsidR="00CB7261" w:rsidRPr="00CB7261">
        <w:rPr>
          <w:rFonts w:asciiTheme="minorHAnsi" w:hAnsiTheme="minorHAnsi" w:cstheme="minorBidi"/>
        </w:rPr>
        <w:t>Fischer JP, Basta MN, Krishnan NM, Wink JD, Kovach SJ. A Cost-Utility Assessment of Mesh Selection in Clean-Contaminated Ventral Hernia Repair. </w:t>
      </w:r>
      <w:r w:rsidR="00CB7261" w:rsidRPr="00CB7261">
        <w:rPr>
          <w:rFonts w:asciiTheme="minorHAnsi" w:hAnsiTheme="minorHAnsi" w:cstheme="minorBidi"/>
          <w:i/>
          <w:iCs/>
        </w:rPr>
        <w:t>Plast Reconstr Surg</w:t>
      </w:r>
      <w:r w:rsidR="00CB7261" w:rsidRPr="00CB7261">
        <w:rPr>
          <w:rFonts w:asciiTheme="minorHAnsi" w:hAnsiTheme="minorHAnsi" w:cstheme="minorBidi"/>
        </w:rPr>
        <w:t xml:space="preserve"> 2016;137(2):647-659</w:t>
      </w:r>
    </w:p>
    <w:p w14:paraId="2B028264" w14:textId="40A4BBD8" w:rsidR="006D34F7" w:rsidRDefault="006D34F7" w:rsidP="006D34F7">
      <w:pPr>
        <w:spacing w:line="360" w:lineRule="auto"/>
        <w:ind w:left="851" w:hanging="851"/>
        <w:rPr>
          <w:rFonts w:asciiTheme="minorHAnsi" w:hAnsiTheme="minorHAnsi" w:cstheme="minorBidi"/>
        </w:rPr>
      </w:pPr>
      <w:r>
        <w:rPr>
          <w:rFonts w:asciiTheme="minorHAnsi" w:hAnsiTheme="minorHAnsi" w:cstheme="minorBidi"/>
        </w:rPr>
        <w:t>218.</w:t>
      </w:r>
      <w:r>
        <w:tab/>
      </w:r>
      <w:r w:rsidRPr="006D34F7">
        <w:rPr>
          <w:rFonts w:asciiTheme="minorHAnsi" w:hAnsiTheme="minorHAnsi" w:cstheme="minorBidi"/>
        </w:rPr>
        <w:t>Bansal VK, Asuri K, Panaiyadiyan S, et al. Comparison of Absorbable Versus Nonabsorbable Tackers in Terms of Long-term Outcomes, Chronic Pain, and Quality of Life After Laparoscopic Incisional Hernia Repair: A Randomized Study. </w:t>
      </w:r>
      <w:r w:rsidRPr="006D34F7">
        <w:rPr>
          <w:rFonts w:asciiTheme="minorHAnsi" w:hAnsiTheme="minorHAnsi" w:cstheme="minorBidi"/>
          <w:i/>
          <w:iCs/>
        </w:rPr>
        <w:t>Surg Laparosc Endosc Percutan Tech</w:t>
      </w:r>
      <w:r w:rsidRPr="006D34F7">
        <w:rPr>
          <w:rFonts w:asciiTheme="minorHAnsi" w:hAnsiTheme="minorHAnsi" w:cstheme="minorBidi"/>
        </w:rPr>
        <w:t xml:space="preserve"> 2016;26(6):476-483</w:t>
      </w:r>
    </w:p>
    <w:p w14:paraId="2B6A4604" w14:textId="11F624EF" w:rsidR="00D92CD8" w:rsidRDefault="00D92CD8" w:rsidP="00D92CD8">
      <w:pPr>
        <w:spacing w:line="360" w:lineRule="auto"/>
        <w:ind w:left="851" w:hanging="851"/>
        <w:rPr>
          <w:rFonts w:asciiTheme="minorHAnsi" w:hAnsiTheme="minorHAnsi" w:cstheme="minorBidi"/>
        </w:rPr>
      </w:pPr>
      <w:r>
        <w:rPr>
          <w:rFonts w:asciiTheme="minorHAnsi" w:hAnsiTheme="minorHAnsi" w:cstheme="minorBidi"/>
        </w:rPr>
        <w:t>219.</w:t>
      </w:r>
      <w:r>
        <w:tab/>
      </w:r>
      <w:r w:rsidRPr="00D92CD8">
        <w:rPr>
          <w:rFonts w:asciiTheme="minorHAnsi" w:hAnsiTheme="minorHAnsi" w:cstheme="minorBidi"/>
        </w:rPr>
        <w:t>Emanuelsson P, Gunnarsson U, Dahlstrand U, Strigård K, Stark B. Operative correction of abdominal rectus diastasis (ARD) reduces pain and improves abdominal wall muscle strength: A randomized, prospective trial comparing retromuscular mesh repair to double-row, self-retaining sutures. </w:t>
      </w:r>
      <w:r w:rsidRPr="00D92CD8">
        <w:rPr>
          <w:rFonts w:asciiTheme="minorHAnsi" w:hAnsiTheme="minorHAnsi" w:cstheme="minorBidi"/>
          <w:i/>
          <w:iCs/>
        </w:rPr>
        <w:t>Surgery</w:t>
      </w:r>
      <w:r w:rsidRPr="00D92CD8">
        <w:rPr>
          <w:rFonts w:asciiTheme="minorHAnsi" w:hAnsiTheme="minorHAnsi" w:cstheme="minorBidi"/>
        </w:rPr>
        <w:t xml:space="preserve"> 2016;160(5):1367-1375</w:t>
      </w:r>
    </w:p>
    <w:p w14:paraId="3FCB8037" w14:textId="186C47C8" w:rsidR="00D92CD8" w:rsidRPr="00D92CD8" w:rsidRDefault="00756298" w:rsidP="00D92CD8">
      <w:pPr>
        <w:spacing w:line="360" w:lineRule="auto"/>
        <w:ind w:left="851" w:hanging="851"/>
        <w:rPr>
          <w:rFonts w:asciiTheme="minorHAnsi" w:hAnsiTheme="minorHAnsi" w:cstheme="minorBidi"/>
        </w:rPr>
      </w:pPr>
      <w:r>
        <w:rPr>
          <w:rFonts w:asciiTheme="minorHAnsi" w:hAnsiTheme="minorHAnsi" w:cstheme="minorBidi"/>
        </w:rPr>
        <w:t>220.</w:t>
      </w:r>
      <w:r>
        <w:tab/>
      </w:r>
      <w:r w:rsidRPr="00756298">
        <w:rPr>
          <w:rFonts w:asciiTheme="minorHAnsi" w:hAnsiTheme="minorHAnsi" w:cstheme="minorBidi"/>
        </w:rPr>
        <w:t xml:space="preserve">Muysoms FE, Vanlander A, Ceulemans R, et al. A prospective, multicenter, observational study on quality of life after laparoscopic inguinal hernia repair with ProGrip laparoscopic, self-fixating mesh according to the European Registry for Abdominal Wall Hernias Quality of Life Instrument. </w:t>
      </w:r>
      <w:r w:rsidRPr="00CB6A96">
        <w:rPr>
          <w:rFonts w:asciiTheme="minorHAnsi" w:hAnsiTheme="minorHAnsi" w:cstheme="minorBidi"/>
          <w:i/>
        </w:rPr>
        <w:t xml:space="preserve">Surgery </w:t>
      </w:r>
      <w:r w:rsidRPr="00756298">
        <w:rPr>
          <w:rFonts w:asciiTheme="minorHAnsi" w:hAnsiTheme="minorHAnsi" w:cstheme="minorBidi"/>
        </w:rPr>
        <w:t>2016;160(5):1344-1357</w:t>
      </w:r>
    </w:p>
    <w:p w14:paraId="3DE295FA" w14:textId="0D3E8D05" w:rsidR="00872C9F" w:rsidRDefault="00872C9F" w:rsidP="00872C9F">
      <w:pPr>
        <w:spacing w:line="360" w:lineRule="auto"/>
        <w:ind w:left="851" w:hanging="851"/>
        <w:rPr>
          <w:rFonts w:asciiTheme="minorHAnsi" w:hAnsiTheme="minorHAnsi" w:cstheme="minorBidi"/>
        </w:rPr>
      </w:pPr>
      <w:r>
        <w:rPr>
          <w:rFonts w:asciiTheme="minorHAnsi" w:hAnsiTheme="minorHAnsi" w:cstheme="minorBidi"/>
        </w:rPr>
        <w:t>221.</w:t>
      </w:r>
      <w:r>
        <w:tab/>
      </w:r>
      <w:r w:rsidRPr="00872C9F">
        <w:rPr>
          <w:rFonts w:asciiTheme="minorHAnsi" w:hAnsiTheme="minorHAnsi" w:cstheme="minorBidi"/>
        </w:rPr>
        <w:t>Gillion JF, Fromont G, Lepère M, et al. Laparoscopic ventral hernia repair using a novel intraperitoneal lightweight mesh coated with hyaluronic acid: 1-year follow-up from a case-control study using the Hernia-Club registry. </w:t>
      </w:r>
      <w:r w:rsidRPr="00872C9F">
        <w:rPr>
          <w:rFonts w:asciiTheme="minorHAnsi" w:hAnsiTheme="minorHAnsi" w:cstheme="minorBidi"/>
          <w:i/>
          <w:iCs/>
        </w:rPr>
        <w:t>Hernia</w:t>
      </w:r>
      <w:r w:rsidRPr="00872C9F">
        <w:rPr>
          <w:rFonts w:asciiTheme="minorHAnsi" w:hAnsiTheme="minorHAnsi" w:cstheme="minorBidi"/>
        </w:rPr>
        <w:t xml:space="preserve"> 2016;20(5):711-722</w:t>
      </w:r>
    </w:p>
    <w:p w14:paraId="278B88EA" w14:textId="60111730" w:rsidR="002111CD" w:rsidRDefault="00250294" w:rsidP="002111CD">
      <w:pPr>
        <w:spacing w:line="360" w:lineRule="auto"/>
        <w:ind w:left="851" w:hanging="851"/>
        <w:rPr>
          <w:rFonts w:asciiTheme="minorHAnsi" w:hAnsiTheme="minorHAnsi" w:cstheme="minorBidi"/>
        </w:rPr>
      </w:pPr>
      <w:r>
        <w:rPr>
          <w:rFonts w:asciiTheme="minorHAnsi" w:hAnsiTheme="minorHAnsi" w:cstheme="minorBidi"/>
        </w:rPr>
        <w:t>222.</w:t>
      </w:r>
      <w:r>
        <w:tab/>
      </w:r>
      <w:r w:rsidR="002111CD" w:rsidRPr="002111CD">
        <w:rPr>
          <w:rFonts w:asciiTheme="minorHAnsi" w:hAnsiTheme="minorHAnsi" w:cstheme="minorBidi"/>
        </w:rPr>
        <w:t>Magnusson J, Nygren J, Gustafsson UO, Thorell A. UltraPro Hernia System, Prolene Hernia System and Lichtenstein for primary inguinal hernia repair: 3-year outcomes of a prospective randomized controlled trial. </w:t>
      </w:r>
      <w:r w:rsidR="002111CD" w:rsidRPr="002111CD">
        <w:rPr>
          <w:rFonts w:asciiTheme="minorHAnsi" w:hAnsiTheme="minorHAnsi" w:cstheme="minorBidi"/>
          <w:i/>
          <w:iCs/>
        </w:rPr>
        <w:t>Hernia</w:t>
      </w:r>
      <w:r w:rsidR="002111CD" w:rsidRPr="002111CD">
        <w:rPr>
          <w:rFonts w:asciiTheme="minorHAnsi" w:hAnsiTheme="minorHAnsi" w:cstheme="minorBidi"/>
        </w:rPr>
        <w:t xml:space="preserve"> 2016;20(5):641-648</w:t>
      </w:r>
    </w:p>
    <w:p w14:paraId="0F1ADCF2" w14:textId="123B163A" w:rsidR="00C60725" w:rsidRDefault="00C60725" w:rsidP="00C60725">
      <w:pPr>
        <w:spacing w:line="360" w:lineRule="auto"/>
        <w:ind w:left="851" w:hanging="851"/>
        <w:rPr>
          <w:rFonts w:asciiTheme="minorHAnsi" w:hAnsiTheme="minorHAnsi" w:cstheme="minorBidi"/>
        </w:rPr>
      </w:pPr>
      <w:r>
        <w:rPr>
          <w:rFonts w:asciiTheme="minorHAnsi" w:hAnsiTheme="minorHAnsi" w:cstheme="minorBidi"/>
        </w:rPr>
        <w:t>223.</w:t>
      </w:r>
      <w:r>
        <w:rPr>
          <w:rFonts w:asciiTheme="minorHAnsi" w:hAnsiTheme="minorHAnsi" w:cstheme="minorBidi"/>
        </w:rPr>
        <w:tab/>
      </w:r>
      <w:r w:rsidRPr="00C60725">
        <w:rPr>
          <w:rFonts w:asciiTheme="minorHAnsi" w:hAnsiTheme="minorHAnsi" w:cstheme="minorBidi"/>
        </w:rPr>
        <w:t>Choi BJ, Jeong WJ, Lee IK, Lee SC. Single-port versus conventional three-port laparoscopic totally extraperitoneal inguinal hernia repair: a randomized controlled trial. </w:t>
      </w:r>
      <w:r w:rsidRPr="00C60725">
        <w:rPr>
          <w:rFonts w:asciiTheme="minorHAnsi" w:hAnsiTheme="minorHAnsi" w:cstheme="minorBidi"/>
          <w:i/>
          <w:iCs/>
        </w:rPr>
        <w:t>Hernia</w:t>
      </w:r>
      <w:r>
        <w:rPr>
          <w:rFonts w:asciiTheme="minorHAnsi" w:hAnsiTheme="minorHAnsi" w:cstheme="minorBidi"/>
        </w:rPr>
        <w:t xml:space="preserve">  </w:t>
      </w:r>
      <w:r w:rsidRPr="00C60725">
        <w:rPr>
          <w:rFonts w:asciiTheme="minorHAnsi" w:hAnsiTheme="minorHAnsi" w:cstheme="minorBidi"/>
        </w:rPr>
        <w:t>2016;20(6):789-795</w:t>
      </w:r>
    </w:p>
    <w:p w14:paraId="3DE88465" w14:textId="6BD42CC3" w:rsidR="00BC4905" w:rsidRDefault="00BC4905" w:rsidP="00BC4905">
      <w:pPr>
        <w:spacing w:line="360" w:lineRule="auto"/>
        <w:ind w:left="851" w:hanging="851"/>
        <w:rPr>
          <w:rFonts w:asciiTheme="minorHAnsi" w:hAnsiTheme="minorHAnsi" w:cstheme="minorBidi"/>
        </w:rPr>
      </w:pPr>
      <w:r>
        <w:rPr>
          <w:rFonts w:asciiTheme="minorHAnsi" w:hAnsiTheme="minorHAnsi" w:cstheme="minorBidi"/>
        </w:rPr>
        <w:t>224.</w:t>
      </w:r>
      <w:r>
        <w:tab/>
      </w:r>
      <w:r w:rsidRPr="00BC4905">
        <w:rPr>
          <w:rFonts w:asciiTheme="minorHAnsi" w:hAnsiTheme="minorHAnsi" w:cstheme="minorBidi"/>
        </w:rPr>
        <w:t>Handojo K, Meylemans D, Devroe K, Vermeiren K, Aelvoet C, Tollens T. Initial Experience with a New Macroporous Partially Absorbable Mesh: Introducing Ultrapro® Advanced™. </w:t>
      </w:r>
      <w:r w:rsidRPr="00BC4905">
        <w:rPr>
          <w:rFonts w:asciiTheme="minorHAnsi" w:hAnsiTheme="minorHAnsi" w:cstheme="minorBidi"/>
          <w:i/>
          <w:iCs/>
        </w:rPr>
        <w:t>Surg Technol Int</w:t>
      </w:r>
      <w:r>
        <w:rPr>
          <w:rFonts w:asciiTheme="minorHAnsi" w:hAnsiTheme="minorHAnsi" w:cstheme="minorBidi"/>
        </w:rPr>
        <w:t xml:space="preserve"> </w:t>
      </w:r>
      <w:r w:rsidRPr="00BC4905">
        <w:rPr>
          <w:rFonts w:asciiTheme="minorHAnsi" w:hAnsiTheme="minorHAnsi" w:cstheme="minorBidi"/>
        </w:rPr>
        <w:t>2016;28:125-130</w:t>
      </w:r>
    </w:p>
    <w:p w14:paraId="52085C4B" w14:textId="075984C1" w:rsidR="00210CB4" w:rsidRDefault="00210CB4" w:rsidP="00210CB4">
      <w:pPr>
        <w:spacing w:line="360" w:lineRule="auto"/>
        <w:ind w:left="851" w:hanging="851"/>
        <w:rPr>
          <w:rFonts w:asciiTheme="minorHAnsi" w:hAnsiTheme="minorHAnsi" w:cstheme="minorBidi"/>
        </w:rPr>
      </w:pPr>
      <w:r>
        <w:rPr>
          <w:rFonts w:asciiTheme="minorHAnsi" w:hAnsiTheme="minorHAnsi" w:cstheme="minorBidi"/>
        </w:rPr>
        <w:t>225.</w:t>
      </w:r>
      <w:r>
        <w:tab/>
      </w:r>
      <w:r w:rsidRPr="00210CB4">
        <w:rPr>
          <w:rFonts w:asciiTheme="minorHAnsi" w:hAnsiTheme="minorHAnsi" w:cstheme="minorBidi"/>
        </w:rPr>
        <w:t>Tobler WD Jr, Itani KM. Current Status and Challenges of Laparoscopy in Ventral Hernia Repair. </w:t>
      </w:r>
      <w:r w:rsidRPr="00210CB4">
        <w:rPr>
          <w:rFonts w:asciiTheme="minorHAnsi" w:hAnsiTheme="minorHAnsi" w:cstheme="minorBidi"/>
          <w:i/>
          <w:iCs/>
        </w:rPr>
        <w:t>J Laparoendosc Adv Surg Tech A</w:t>
      </w:r>
      <w:r>
        <w:rPr>
          <w:rFonts w:asciiTheme="minorHAnsi" w:hAnsiTheme="minorHAnsi" w:cstheme="minorBidi"/>
        </w:rPr>
        <w:t xml:space="preserve"> </w:t>
      </w:r>
      <w:r w:rsidRPr="00210CB4">
        <w:rPr>
          <w:rFonts w:asciiTheme="minorHAnsi" w:hAnsiTheme="minorHAnsi" w:cstheme="minorBidi"/>
        </w:rPr>
        <w:t>2016;26(4):281-289</w:t>
      </w:r>
    </w:p>
    <w:p w14:paraId="7C45D44B" w14:textId="02AFE601" w:rsidR="00210CB4" w:rsidRDefault="001F0B2F" w:rsidP="00210CB4">
      <w:pPr>
        <w:spacing w:line="360" w:lineRule="auto"/>
        <w:ind w:left="851" w:hanging="851"/>
        <w:rPr>
          <w:rFonts w:asciiTheme="minorHAnsi" w:hAnsiTheme="minorHAnsi" w:cstheme="minorBidi"/>
        </w:rPr>
      </w:pPr>
      <w:r>
        <w:rPr>
          <w:rFonts w:asciiTheme="minorHAnsi" w:hAnsiTheme="minorHAnsi" w:cstheme="minorBidi"/>
        </w:rPr>
        <w:t>226.</w:t>
      </w:r>
      <w:r>
        <w:tab/>
      </w:r>
      <w:r w:rsidRPr="001F0B2F">
        <w:rPr>
          <w:rFonts w:asciiTheme="minorHAnsi" w:hAnsiTheme="minorHAnsi" w:cstheme="minorBidi"/>
        </w:rPr>
        <w:t xml:space="preserve">Berney CR, Descallar J. Review of 1000 fibrin glue mesh fixation during endoscopic totally extraperitoneal (TEP) inguinal hernia repair. </w:t>
      </w:r>
      <w:r w:rsidRPr="00404610">
        <w:rPr>
          <w:rFonts w:asciiTheme="minorHAnsi" w:hAnsiTheme="minorHAnsi" w:cstheme="minorBidi"/>
          <w:i/>
        </w:rPr>
        <w:t>Surg Endosc</w:t>
      </w:r>
      <w:r>
        <w:rPr>
          <w:rFonts w:asciiTheme="minorHAnsi" w:hAnsiTheme="minorHAnsi" w:cstheme="minorBidi"/>
        </w:rPr>
        <w:t xml:space="preserve"> </w:t>
      </w:r>
      <w:r w:rsidRPr="001F0B2F">
        <w:rPr>
          <w:rFonts w:asciiTheme="minorHAnsi" w:hAnsiTheme="minorHAnsi" w:cstheme="minorBidi"/>
        </w:rPr>
        <w:t>2016;30(10):4544-4552</w:t>
      </w:r>
    </w:p>
    <w:p w14:paraId="4C3EAB2A" w14:textId="759FE4A4" w:rsidR="00E916C6" w:rsidRDefault="00E916C6" w:rsidP="00E916C6">
      <w:pPr>
        <w:spacing w:line="360" w:lineRule="auto"/>
        <w:ind w:left="851" w:hanging="851"/>
        <w:rPr>
          <w:rFonts w:asciiTheme="minorHAnsi" w:hAnsiTheme="minorHAnsi" w:cstheme="minorBidi"/>
        </w:rPr>
      </w:pPr>
      <w:r>
        <w:rPr>
          <w:rFonts w:asciiTheme="minorHAnsi" w:hAnsiTheme="minorHAnsi" w:cstheme="minorBidi"/>
        </w:rPr>
        <w:t>227.</w:t>
      </w:r>
      <w:r>
        <w:rPr>
          <w:rFonts w:asciiTheme="minorHAnsi" w:hAnsiTheme="minorHAnsi" w:cstheme="minorBidi"/>
        </w:rPr>
        <w:tab/>
      </w:r>
      <w:r w:rsidRPr="00E916C6">
        <w:rPr>
          <w:rFonts w:asciiTheme="minorHAnsi" w:hAnsiTheme="minorHAnsi" w:cstheme="minorBidi"/>
        </w:rPr>
        <w:t>Burgmans JP, Voorbrood CE, Simmermacher RK, et al. Long-term Results of a Randomized Double-blinded Prospective Trial of a Lightweight (Ultrapro) Versus a Heavyweight Mesh (Prolene) in Laparoscopic Total Extraperitoneal Inguinal Hernia Repair (TULP-trial). </w:t>
      </w:r>
      <w:r w:rsidRPr="00E916C6">
        <w:rPr>
          <w:rFonts w:asciiTheme="minorHAnsi" w:hAnsiTheme="minorHAnsi" w:cstheme="minorBidi"/>
          <w:i/>
          <w:iCs/>
        </w:rPr>
        <w:t>Ann Surg</w:t>
      </w:r>
      <w:r w:rsidRPr="00E916C6">
        <w:rPr>
          <w:rFonts w:asciiTheme="minorHAnsi" w:hAnsiTheme="minorHAnsi" w:cstheme="minorBidi"/>
        </w:rPr>
        <w:t xml:space="preserve"> 2016;263(5):862-866</w:t>
      </w:r>
    </w:p>
    <w:p w14:paraId="10856C1A" w14:textId="6B69DCE0" w:rsidR="002900BB" w:rsidRDefault="002900BB" w:rsidP="002900BB">
      <w:pPr>
        <w:spacing w:line="360" w:lineRule="auto"/>
        <w:ind w:left="851" w:hanging="851"/>
        <w:rPr>
          <w:rFonts w:asciiTheme="minorHAnsi" w:hAnsiTheme="minorHAnsi" w:cstheme="minorBidi"/>
        </w:rPr>
      </w:pPr>
      <w:r>
        <w:rPr>
          <w:rFonts w:asciiTheme="minorHAnsi" w:hAnsiTheme="minorHAnsi" w:cstheme="minorBidi"/>
        </w:rPr>
        <w:t>228.</w:t>
      </w:r>
      <w:r>
        <w:rPr>
          <w:rFonts w:asciiTheme="minorHAnsi" w:hAnsiTheme="minorHAnsi" w:cstheme="minorBidi"/>
        </w:rPr>
        <w:tab/>
      </w:r>
      <w:r w:rsidRPr="002900BB">
        <w:rPr>
          <w:rFonts w:asciiTheme="minorHAnsi" w:hAnsiTheme="minorHAnsi" w:cstheme="minorBidi"/>
        </w:rPr>
        <w:t>Nedelcu M, Verhaeghe P, Skalli M, et al. Multicenter prospective randomized study comparing the technique of using a bovine pericardium biological prosthesis reinforcement in parietal herniorrhaphy (Tutomesh TUTOGEN) with simple parietal herniorrhaphy, in a potentially contaminated setting. </w:t>
      </w:r>
      <w:r w:rsidRPr="002900BB">
        <w:rPr>
          <w:rFonts w:asciiTheme="minorHAnsi" w:hAnsiTheme="minorHAnsi" w:cstheme="minorBidi"/>
          <w:i/>
          <w:iCs/>
        </w:rPr>
        <w:t>Wound Repair Regen</w:t>
      </w:r>
      <w:r>
        <w:rPr>
          <w:rFonts w:asciiTheme="minorHAnsi" w:hAnsiTheme="minorHAnsi" w:cstheme="minorBidi"/>
        </w:rPr>
        <w:t xml:space="preserve"> </w:t>
      </w:r>
      <w:r w:rsidRPr="002900BB">
        <w:rPr>
          <w:rFonts w:asciiTheme="minorHAnsi" w:hAnsiTheme="minorHAnsi" w:cstheme="minorBidi"/>
        </w:rPr>
        <w:t>2016;24(2):427-433</w:t>
      </w:r>
    </w:p>
    <w:p w14:paraId="7ABD9356" w14:textId="46F4556D" w:rsidR="001F21BD" w:rsidRPr="001F21BD" w:rsidRDefault="002900BB" w:rsidP="001F21BD">
      <w:pPr>
        <w:spacing w:line="360" w:lineRule="auto"/>
        <w:ind w:left="851" w:hanging="851"/>
        <w:rPr>
          <w:rFonts w:asciiTheme="minorHAnsi" w:hAnsiTheme="minorHAnsi" w:cstheme="minorBidi"/>
        </w:rPr>
      </w:pPr>
      <w:r>
        <w:rPr>
          <w:rFonts w:asciiTheme="minorHAnsi" w:hAnsiTheme="minorHAnsi" w:cstheme="minorBidi"/>
        </w:rPr>
        <w:t>229.</w:t>
      </w:r>
      <w:r>
        <w:rPr>
          <w:rFonts w:asciiTheme="minorHAnsi" w:hAnsiTheme="minorHAnsi" w:cstheme="minorBidi"/>
        </w:rPr>
        <w:tab/>
      </w:r>
      <w:r w:rsidR="001F21BD" w:rsidRPr="001F21BD">
        <w:rPr>
          <w:rFonts w:asciiTheme="minorHAnsi" w:hAnsiTheme="minorHAnsi" w:cstheme="minorBidi"/>
        </w:rPr>
        <w:t>Yazicioğlu D, Caparlar C, Akkaya T, Mercan U, Kulaçoğlu H. Tizanidine for the management of acute postoperative pain after inguinal hernia repair: A placebo-controlled double-blind trial. </w:t>
      </w:r>
      <w:r w:rsidR="001F21BD" w:rsidRPr="001F21BD">
        <w:rPr>
          <w:rFonts w:asciiTheme="minorHAnsi" w:hAnsiTheme="minorHAnsi" w:cstheme="minorBidi"/>
          <w:i/>
          <w:iCs/>
        </w:rPr>
        <w:t>Eur J Anaesthesiol</w:t>
      </w:r>
      <w:r w:rsidR="001F21BD" w:rsidRPr="001F21BD">
        <w:rPr>
          <w:rFonts w:asciiTheme="minorHAnsi" w:hAnsiTheme="minorHAnsi" w:cstheme="minorBidi"/>
        </w:rPr>
        <w:t xml:space="preserve"> 2016;33(3):215-222</w:t>
      </w:r>
    </w:p>
    <w:p w14:paraId="04152000" w14:textId="6BC523F9" w:rsidR="002900BB" w:rsidRDefault="002D1CAC" w:rsidP="002900BB">
      <w:pPr>
        <w:spacing w:line="360" w:lineRule="auto"/>
        <w:ind w:left="851" w:hanging="851"/>
        <w:rPr>
          <w:rFonts w:asciiTheme="minorHAnsi" w:hAnsiTheme="minorHAnsi" w:cstheme="minorBidi"/>
        </w:rPr>
      </w:pPr>
      <w:r>
        <w:rPr>
          <w:rFonts w:asciiTheme="minorHAnsi" w:hAnsiTheme="minorHAnsi" w:cstheme="minorBidi"/>
        </w:rPr>
        <w:t>230.</w:t>
      </w:r>
      <w:r>
        <w:rPr>
          <w:rFonts w:asciiTheme="minorHAnsi" w:hAnsiTheme="minorHAnsi" w:cstheme="minorBidi"/>
        </w:rPr>
        <w:tab/>
      </w:r>
      <w:r w:rsidRPr="002D1CAC">
        <w:rPr>
          <w:rFonts w:asciiTheme="minorHAnsi" w:hAnsiTheme="minorHAnsi" w:cstheme="minorBidi"/>
        </w:rPr>
        <w:t xml:space="preserve">Wang Y, Zhang X. Short-term results of open inguinal hernia repair with self-gripping Parietex ProGrip mesh in China: A retrospective study of 90 cases. </w:t>
      </w:r>
      <w:r w:rsidRPr="00CB6A96">
        <w:rPr>
          <w:rFonts w:asciiTheme="minorHAnsi" w:hAnsiTheme="minorHAnsi" w:cstheme="minorBidi"/>
          <w:i/>
        </w:rPr>
        <w:t>Asian J Surg</w:t>
      </w:r>
      <w:r>
        <w:rPr>
          <w:rFonts w:asciiTheme="minorHAnsi" w:hAnsiTheme="minorHAnsi" w:cstheme="minorBidi"/>
        </w:rPr>
        <w:t xml:space="preserve"> </w:t>
      </w:r>
      <w:r w:rsidRPr="002D1CAC">
        <w:rPr>
          <w:rFonts w:asciiTheme="minorHAnsi" w:hAnsiTheme="minorHAnsi" w:cstheme="minorBidi"/>
        </w:rPr>
        <w:t>2016;39(4):218-224</w:t>
      </w:r>
    </w:p>
    <w:p w14:paraId="76BE23F3" w14:textId="6E8E6E0A" w:rsidR="00D85662" w:rsidRPr="00404610" w:rsidRDefault="00D85662" w:rsidP="00D85662">
      <w:pPr>
        <w:spacing w:line="360" w:lineRule="auto"/>
        <w:ind w:left="851" w:hanging="851"/>
        <w:rPr>
          <w:rFonts w:asciiTheme="minorHAnsi" w:hAnsiTheme="minorHAnsi" w:cstheme="minorBidi"/>
          <w:lang w:val="es-ES"/>
        </w:rPr>
      </w:pPr>
      <w:r>
        <w:rPr>
          <w:rFonts w:asciiTheme="minorHAnsi" w:hAnsiTheme="minorHAnsi" w:cstheme="minorBidi"/>
        </w:rPr>
        <w:t>231.</w:t>
      </w:r>
      <w:r>
        <w:tab/>
      </w:r>
      <w:r w:rsidRPr="00D85662">
        <w:rPr>
          <w:rFonts w:asciiTheme="minorHAnsi" w:hAnsiTheme="minorHAnsi" w:cstheme="minorBidi"/>
        </w:rPr>
        <w:t>Rogmark P, Petersson U, Bringman S, Ezra E, Österberg J, Montgomery A. Quality of Life and Surgical Outcome 1 Year After Open and Laparoscopic Incisional Hernia Repair: PROLOVE: A Randomized Controlled Trial. </w:t>
      </w:r>
      <w:r w:rsidRPr="00404610">
        <w:rPr>
          <w:rFonts w:asciiTheme="minorHAnsi" w:hAnsiTheme="minorHAnsi" w:cstheme="minorBidi"/>
          <w:i/>
          <w:lang w:val="es-ES"/>
        </w:rPr>
        <w:t>Ann Surg</w:t>
      </w:r>
      <w:r w:rsidRPr="00404610">
        <w:rPr>
          <w:rFonts w:asciiTheme="minorHAnsi" w:hAnsiTheme="minorHAnsi" w:cstheme="minorBidi"/>
          <w:lang w:val="es-ES"/>
        </w:rPr>
        <w:t xml:space="preserve"> 2016;263(2):244-250</w:t>
      </w:r>
    </w:p>
    <w:p w14:paraId="2C804336" w14:textId="44C32AF8" w:rsidR="00964D9C" w:rsidRDefault="00964D9C" w:rsidP="00964D9C">
      <w:pPr>
        <w:spacing w:line="360" w:lineRule="auto"/>
        <w:ind w:left="851" w:hanging="851"/>
        <w:rPr>
          <w:rFonts w:asciiTheme="minorHAnsi" w:hAnsiTheme="minorHAnsi" w:cstheme="minorBidi"/>
        </w:rPr>
      </w:pPr>
      <w:r w:rsidRPr="00CB6A96">
        <w:rPr>
          <w:rFonts w:asciiTheme="minorHAnsi" w:hAnsiTheme="minorHAnsi" w:cstheme="minorBidi"/>
          <w:lang w:val="es-ES"/>
        </w:rPr>
        <w:t>232.</w:t>
      </w:r>
      <w:r w:rsidRPr="00CB6A96">
        <w:rPr>
          <w:rFonts w:asciiTheme="minorHAnsi" w:hAnsiTheme="minorHAnsi" w:cstheme="minorBidi"/>
          <w:lang w:val="es-ES"/>
        </w:rPr>
        <w:tab/>
        <w:t xml:space="preserve">Rönkä K, Vironen J, Kössi J, et al. </w:t>
      </w:r>
      <w:r w:rsidRPr="00964D9C">
        <w:rPr>
          <w:rFonts w:asciiTheme="minorHAnsi" w:hAnsiTheme="minorHAnsi" w:cstheme="minorBidi"/>
        </w:rPr>
        <w:t>Randomized Multicenter Trial Comparing Glue Fixation, Self-gripping Mesh, and Suture Fixation of Mesh in Lichtenstein Hernia Repair (FinnMesh Study). </w:t>
      </w:r>
      <w:r w:rsidRPr="00964D9C">
        <w:rPr>
          <w:rFonts w:asciiTheme="minorHAnsi" w:hAnsiTheme="minorHAnsi" w:cstheme="minorBidi"/>
          <w:i/>
          <w:iCs/>
        </w:rPr>
        <w:t>Ann Surg</w:t>
      </w:r>
      <w:r w:rsidRPr="00964D9C">
        <w:rPr>
          <w:rFonts w:asciiTheme="minorHAnsi" w:hAnsiTheme="minorHAnsi" w:cstheme="minorBidi"/>
        </w:rPr>
        <w:t xml:space="preserve"> 2015;262(5):714-720</w:t>
      </w:r>
    </w:p>
    <w:p w14:paraId="318FEB67" w14:textId="0A3ECC03" w:rsidR="005950F8" w:rsidRDefault="005950F8" w:rsidP="005950F8">
      <w:pPr>
        <w:spacing w:line="360" w:lineRule="auto"/>
        <w:ind w:left="851" w:hanging="851"/>
        <w:rPr>
          <w:rFonts w:asciiTheme="minorHAnsi" w:hAnsiTheme="minorHAnsi" w:cstheme="minorBidi"/>
        </w:rPr>
      </w:pPr>
      <w:r>
        <w:rPr>
          <w:rFonts w:asciiTheme="minorHAnsi" w:hAnsiTheme="minorHAnsi" w:cstheme="minorBidi"/>
        </w:rPr>
        <w:t>233.</w:t>
      </w:r>
      <w:r>
        <w:rPr>
          <w:rFonts w:asciiTheme="minorHAnsi" w:hAnsiTheme="minorHAnsi" w:cstheme="minorBidi"/>
        </w:rPr>
        <w:tab/>
      </w:r>
      <w:r w:rsidRPr="005950F8">
        <w:rPr>
          <w:rFonts w:asciiTheme="minorHAnsi" w:hAnsiTheme="minorHAnsi" w:cstheme="minorBidi"/>
        </w:rPr>
        <w:t>Christoffersen MW, Olsen BH, Rosenberg J, Bisgaard T. Randomized clinical trial on the postoperative use of an abdominal binder after laparoscopic umbilical and epigastric hernia repair. </w:t>
      </w:r>
      <w:r w:rsidRPr="005950F8">
        <w:rPr>
          <w:rFonts w:asciiTheme="minorHAnsi" w:hAnsiTheme="minorHAnsi" w:cstheme="minorBidi"/>
          <w:i/>
          <w:iCs/>
        </w:rPr>
        <w:t>Hernia</w:t>
      </w:r>
      <w:r w:rsidRPr="005950F8">
        <w:rPr>
          <w:rFonts w:asciiTheme="minorHAnsi" w:hAnsiTheme="minorHAnsi" w:cstheme="minorBidi"/>
        </w:rPr>
        <w:t xml:space="preserve"> 2015;19(1):147-153</w:t>
      </w:r>
    </w:p>
    <w:p w14:paraId="02DDF2F6" w14:textId="6B8E9509" w:rsidR="00082118" w:rsidRDefault="005950F8" w:rsidP="00082118">
      <w:pPr>
        <w:spacing w:line="360" w:lineRule="auto"/>
        <w:ind w:left="851" w:hanging="851"/>
        <w:rPr>
          <w:rFonts w:asciiTheme="minorHAnsi" w:hAnsiTheme="minorHAnsi" w:cstheme="minorBidi"/>
        </w:rPr>
      </w:pPr>
      <w:r>
        <w:rPr>
          <w:rFonts w:asciiTheme="minorHAnsi" w:hAnsiTheme="minorHAnsi" w:cstheme="minorBidi"/>
        </w:rPr>
        <w:t>234.</w:t>
      </w:r>
      <w:r>
        <w:rPr>
          <w:rFonts w:asciiTheme="minorHAnsi" w:hAnsiTheme="minorHAnsi" w:cstheme="minorBidi"/>
        </w:rPr>
        <w:tab/>
      </w:r>
      <w:r w:rsidR="00082118" w:rsidRPr="00082118">
        <w:rPr>
          <w:rFonts w:asciiTheme="minorHAnsi" w:hAnsiTheme="minorHAnsi" w:cstheme="minorBidi"/>
        </w:rPr>
        <w:t>Chatterjee A, Krishnan NM, Rosen JM. Complex ventral hernia repair using components separation with or without biologic mesh: a cost-utility analysis. </w:t>
      </w:r>
      <w:r w:rsidR="00082118" w:rsidRPr="00082118">
        <w:rPr>
          <w:rFonts w:asciiTheme="minorHAnsi" w:hAnsiTheme="minorHAnsi" w:cstheme="minorBidi"/>
          <w:i/>
          <w:iCs/>
        </w:rPr>
        <w:t>Ann Plast Surg</w:t>
      </w:r>
      <w:r w:rsidR="00082118" w:rsidRPr="00082118">
        <w:rPr>
          <w:rFonts w:asciiTheme="minorHAnsi" w:hAnsiTheme="minorHAnsi" w:cstheme="minorBidi"/>
        </w:rPr>
        <w:t xml:space="preserve"> 2015;74(4):471-478</w:t>
      </w:r>
    </w:p>
    <w:p w14:paraId="0CF40D55" w14:textId="4D7FA7C1" w:rsidR="00D469E6" w:rsidRDefault="00D469E6" w:rsidP="00082118">
      <w:pPr>
        <w:spacing w:line="360" w:lineRule="auto"/>
        <w:ind w:left="851" w:hanging="851"/>
        <w:rPr>
          <w:rFonts w:asciiTheme="minorHAnsi" w:hAnsiTheme="minorHAnsi" w:cstheme="minorBidi"/>
        </w:rPr>
      </w:pPr>
      <w:r>
        <w:rPr>
          <w:rFonts w:asciiTheme="minorHAnsi" w:hAnsiTheme="minorHAnsi" w:cstheme="minorBidi"/>
        </w:rPr>
        <w:t>235.</w:t>
      </w:r>
      <w:r>
        <w:rPr>
          <w:rFonts w:asciiTheme="minorHAnsi" w:hAnsiTheme="minorHAnsi" w:cstheme="minorBidi"/>
        </w:rPr>
        <w:tab/>
      </w:r>
      <w:r w:rsidR="00CA282C" w:rsidRPr="00CA282C">
        <w:rPr>
          <w:rFonts w:asciiTheme="minorHAnsi" w:hAnsiTheme="minorHAnsi" w:cstheme="minorBidi"/>
        </w:rPr>
        <w:t xml:space="preserve">Chatterjee A, Krishnan NM, Rosen JM. Complex ventral hernia repair using components separation with or without synthetic mesh: a cost-utility analysis. </w:t>
      </w:r>
      <w:r w:rsidR="00CA282C" w:rsidRPr="00CB6A96">
        <w:rPr>
          <w:rFonts w:asciiTheme="minorHAnsi" w:hAnsiTheme="minorHAnsi" w:cstheme="minorBidi"/>
          <w:i/>
        </w:rPr>
        <w:t>Plast Reconstr Surg</w:t>
      </w:r>
      <w:r w:rsidR="00CA282C">
        <w:rPr>
          <w:rFonts w:asciiTheme="minorHAnsi" w:hAnsiTheme="minorHAnsi" w:cstheme="minorBidi"/>
        </w:rPr>
        <w:t xml:space="preserve"> </w:t>
      </w:r>
      <w:r w:rsidR="00CA282C" w:rsidRPr="00CA282C">
        <w:rPr>
          <w:rFonts w:asciiTheme="minorHAnsi" w:hAnsiTheme="minorHAnsi" w:cstheme="minorBidi"/>
        </w:rPr>
        <w:t>2014;133(1):137-146</w:t>
      </w:r>
    </w:p>
    <w:p w14:paraId="3B398CA3" w14:textId="2F2CB0C6" w:rsidR="00F137F4" w:rsidRPr="00CB6A96" w:rsidRDefault="00F137F4" w:rsidP="00F137F4">
      <w:pPr>
        <w:spacing w:line="360" w:lineRule="auto"/>
        <w:ind w:left="851" w:hanging="851"/>
        <w:rPr>
          <w:rFonts w:asciiTheme="minorHAnsi" w:hAnsiTheme="minorHAnsi" w:cstheme="minorBidi"/>
          <w:lang w:val="es-ES"/>
        </w:rPr>
      </w:pPr>
      <w:r>
        <w:rPr>
          <w:rFonts w:asciiTheme="minorHAnsi" w:hAnsiTheme="minorHAnsi" w:cstheme="minorBidi"/>
        </w:rPr>
        <w:t>236.</w:t>
      </w:r>
      <w:r>
        <w:tab/>
      </w:r>
      <w:r w:rsidRPr="00F137F4">
        <w:rPr>
          <w:rFonts w:asciiTheme="minorHAnsi" w:hAnsiTheme="minorHAnsi" w:cstheme="minorBidi"/>
        </w:rPr>
        <w:t>Berrevoet F, Tollens T, Berwouts L, et al. A belgian multicenter prospective observational cohort study shows safe and efficient use of a composite mesh with incorporated oxidized regenerated cellulose in laparoscopic ventral hernia repair. </w:t>
      </w:r>
      <w:r w:rsidRPr="00CB6A96">
        <w:rPr>
          <w:rFonts w:asciiTheme="minorHAnsi" w:hAnsiTheme="minorHAnsi" w:cstheme="minorBidi"/>
          <w:i/>
          <w:lang w:val="es-ES"/>
        </w:rPr>
        <w:t>Acta Chir Belg</w:t>
      </w:r>
      <w:r w:rsidRPr="00CB6A96">
        <w:rPr>
          <w:rFonts w:asciiTheme="minorHAnsi" w:hAnsiTheme="minorHAnsi" w:cstheme="minorBidi"/>
          <w:lang w:val="es-ES"/>
        </w:rPr>
        <w:t xml:space="preserve"> 2014;114(4):233-238</w:t>
      </w:r>
    </w:p>
    <w:p w14:paraId="322BC5A9" w14:textId="32EA3860" w:rsidR="00EB5A4B" w:rsidRDefault="00EB5A4B" w:rsidP="00EB5A4B">
      <w:pPr>
        <w:spacing w:line="360" w:lineRule="auto"/>
        <w:ind w:left="851" w:hanging="851"/>
        <w:rPr>
          <w:rFonts w:asciiTheme="minorHAnsi" w:hAnsiTheme="minorHAnsi" w:cstheme="minorBidi"/>
        </w:rPr>
      </w:pPr>
      <w:r w:rsidRPr="00CB6A96">
        <w:rPr>
          <w:rFonts w:asciiTheme="minorHAnsi" w:hAnsiTheme="minorHAnsi" w:cstheme="minorBidi"/>
          <w:lang w:val="es-ES"/>
        </w:rPr>
        <w:t>237.</w:t>
      </w:r>
      <w:r w:rsidRPr="00404610">
        <w:rPr>
          <w:lang w:val="es-ES"/>
        </w:rPr>
        <w:tab/>
      </w:r>
      <w:r w:rsidRPr="00CB6A96">
        <w:rPr>
          <w:rFonts w:asciiTheme="minorHAnsi" w:hAnsiTheme="minorHAnsi" w:cstheme="minorBidi"/>
          <w:lang w:val="es-ES"/>
        </w:rPr>
        <w:t xml:space="preserve">Greco DP, Fei L, Guerriero L, et al. </w:t>
      </w:r>
      <w:r w:rsidRPr="00EB5A4B">
        <w:rPr>
          <w:rFonts w:asciiTheme="minorHAnsi" w:hAnsiTheme="minorHAnsi" w:cstheme="minorBidi"/>
        </w:rPr>
        <w:t>Feasibility and effectiveness of primary umbilical hernia repair with biologic graft: preliminary study. </w:t>
      </w:r>
      <w:r w:rsidRPr="00EB5A4B">
        <w:rPr>
          <w:rFonts w:asciiTheme="minorHAnsi" w:hAnsiTheme="minorHAnsi" w:cstheme="minorBidi"/>
          <w:i/>
          <w:iCs/>
        </w:rPr>
        <w:t>Acta Chir Belg</w:t>
      </w:r>
      <w:r>
        <w:rPr>
          <w:rFonts w:asciiTheme="minorHAnsi" w:hAnsiTheme="minorHAnsi" w:cstheme="minorBidi"/>
        </w:rPr>
        <w:t xml:space="preserve"> </w:t>
      </w:r>
      <w:r w:rsidRPr="00EB5A4B">
        <w:rPr>
          <w:rFonts w:asciiTheme="minorHAnsi" w:hAnsiTheme="minorHAnsi" w:cstheme="minorBidi"/>
        </w:rPr>
        <w:t>2014;114(2):125-130</w:t>
      </w:r>
    </w:p>
    <w:p w14:paraId="2643B78D" w14:textId="05E1B626" w:rsidR="00F655DF" w:rsidRDefault="00F655DF" w:rsidP="00F655DF">
      <w:pPr>
        <w:spacing w:line="360" w:lineRule="auto"/>
        <w:ind w:left="851" w:hanging="851"/>
        <w:rPr>
          <w:rFonts w:asciiTheme="minorHAnsi" w:hAnsiTheme="minorHAnsi" w:cstheme="minorBidi"/>
        </w:rPr>
      </w:pPr>
      <w:r>
        <w:rPr>
          <w:rFonts w:asciiTheme="minorHAnsi" w:hAnsiTheme="minorHAnsi" w:cstheme="minorBidi"/>
        </w:rPr>
        <w:t>238.</w:t>
      </w:r>
      <w:r>
        <w:tab/>
      </w:r>
      <w:r w:rsidRPr="00F655DF">
        <w:rPr>
          <w:rFonts w:asciiTheme="minorHAnsi" w:hAnsiTheme="minorHAnsi" w:cstheme="minorBidi"/>
        </w:rPr>
        <w:t>Christoffersen MW, Westen M, Assadzadeh S, Deigaard SL, Rosenberg J, Bisgaard T. The clinical effects of closure of the hernia gap after laparoscopic ventral hernia repair: protocol for a randomised controlled trial. </w:t>
      </w:r>
      <w:r w:rsidRPr="00F655DF">
        <w:rPr>
          <w:rFonts w:asciiTheme="minorHAnsi" w:hAnsiTheme="minorHAnsi" w:cstheme="minorBidi"/>
          <w:i/>
          <w:iCs/>
        </w:rPr>
        <w:t>Dan Med J</w:t>
      </w:r>
      <w:r w:rsidRPr="00F655DF">
        <w:rPr>
          <w:rFonts w:asciiTheme="minorHAnsi" w:hAnsiTheme="minorHAnsi" w:cstheme="minorBidi"/>
        </w:rPr>
        <w:t xml:space="preserve"> 2014;61(6):A4865</w:t>
      </w:r>
    </w:p>
    <w:p w14:paraId="05F32B7F" w14:textId="1103D1C2" w:rsidR="00891D0E" w:rsidRDefault="00891D0E" w:rsidP="00891D0E">
      <w:pPr>
        <w:spacing w:line="360" w:lineRule="auto"/>
        <w:ind w:left="851" w:hanging="851"/>
        <w:rPr>
          <w:rFonts w:asciiTheme="minorHAnsi" w:hAnsiTheme="minorHAnsi" w:cstheme="minorBidi"/>
        </w:rPr>
      </w:pPr>
      <w:r>
        <w:rPr>
          <w:rFonts w:asciiTheme="minorHAnsi" w:hAnsiTheme="minorHAnsi" w:cstheme="minorBidi"/>
        </w:rPr>
        <w:t>239.</w:t>
      </w:r>
      <w:r>
        <w:tab/>
      </w:r>
      <w:r w:rsidRPr="00891D0E">
        <w:rPr>
          <w:rFonts w:asciiTheme="minorHAnsi" w:hAnsiTheme="minorHAnsi" w:cstheme="minorBidi"/>
        </w:rPr>
        <w:t>Stey AM, Danzig M, Qiu S, Yin S, Divino CM. Cost-utility analysis of repair of reducible ventral hernia. </w:t>
      </w:r>
      <w:r w:rsidRPr="00891D0E">
        <w:rPr>
          <w:rFonts w:asciiTheme="minorHAnsi" w:hAnsiTheme="minorHAnsi" w:cstheme="minorBidi"/>
          <w:i/>
          <w:iCs/>
        </w:rPr>
        <w:t>Surgery</w:t>
      </w:r>
      <w:r w:rsidRPr="00891D0E">
        <w:rPr>
          <w:rFonts w:asciiTheme="minorHAnsi" w:hAnsiTheme="minorHAnsi" w:cstheme="minorBidi"/>
        </w:rPr>
        <w:t xml:space="preserve"> 2014;155(6):1081-1089</w:t>
      </w:r>
    </w:p>
    <w:p w14:paraId="2BBBC915" w14:textId="2CACEC7A" w:rsidR="00512ED7" w:rsidRDefault="00891D0E" w:rsidP="00512ED7">
      <w:pPr>
        <w:spacing w:line="360" w:lineRule="auto"/>
        <w:ind w:left="851" w:hanging="851"/>
        <w:rPr>
          <w:rFonts w:asciiTheme="minorHAnsi" w:hAnsiTheme="minorHAnsi" w:cstheme="minorBidi"/>
        </w:rPr>
      </w:pPr>
      <w:r>
        <w:rPr>
          <w:rFonts w:asciiTheme="minorHAnsi" w:hAnsiTheme="minorHAnsi" w:cstheme="minorBidi"/>
        </w:rPr>
        <w:t>240.</w:t>
      </w:r>
      <w:r>
        <w:rPr>
          <w:rFonts w:asciiTheme="minorHAnsi" w:hAnsiTheme="minorHAnsi" w:cstheme="minorBidi"/>
        </w:rPr>
        <w:tab/>
      </w:r>
      <w:r w:rsidR="00512ED7" w:rsidRPr="00512ED7">
        <w:rPr>
          <w:rFonts w:asciiTheme="minorHAnsi" w:hAnsiTheme="minorHAnsi" w:cstheme="minorBidi"/>
        </w:rPr>
        <w:t>Nikkolo C, Vaasna T, Murruste M, Seepter H, Kirsimägi Ü, Lepner U. Randomized clinical study evaluating the impact of mesh pore size on chronic pain after Lichtenstein hernioplasty. </w:t>
      </w:r>
      <w:r w:rsidR="00512ED7" w:rsidRPr="00512ED7">
        <w:rPr>
          <w:rFonts w:asciiTheme="minorHAnsi" w:hAnsiTheme="minorHAnsi" w:cstheme="minorBidi"/>
          <w:i/>
          <w:iCs/>
        </w:rPr>
        <w:t>J Surg Res</w:t>
      </w:r>
      <w:r w:rsidR="00512ED7" w:rsidRPr="00512ED7">
        <w:rPr>
          <w:rFonts w:asciiTheme="minorHAnsi" w:hAnsiTheme="minorHAnsi" w:cstheme="minorBidi"/>
        </w:rPr>
        <w:t xml:space="preserve"> 2014;191(2):311-317</w:t>
      </w:r>
    </w:p>
    <w:p w14:paraId="61C6B23C" w14:textId="2A63C0A8" w:rsidR="00512ED7" w:rsidRDefault="00D268BD" w:rsidP="00512ED7">
      <w:pPr>
        <w:spacing w:line="360" w:lineRule="auto"/>
        <w:ind w:left="851" w:hanging="851"/>
        <w:rPr>
          <w:rFonts w:asciiTheme="minorHAnsi" w:hAnsiTheme="minorHAnsi" w:cstheme="minorBidi"/>
        </w:rPr>
      </w:pPr>
      <w:r>
        <w:rPr>
          <w:rFonts w:asciiTheme="minorHAnsi" w:hAnsiTheme="minorHAnsi" w:cstheme="minorBidi"/>
        </w:rPr>
        <w:t>241.</w:t>
      </w:r>
      <w:r>
        <w:rPr>
          <w:rFonts w:asciiTheme="minorHAnsi" w:hAnsiTheme="minorHAnsi" w:cstheme="minorBidi"/>
        </w:rPr>
        <w:tab/>
      </w:r>
      <w:r w:rsidRPr="00D268BD">
        <w:rPr>
          <w:rFonts w:asciiTheme="minorHAnsi" w:hAnsiTheme="minorHAnsi" w:cstheme="minorBidi"/>
        </w:rPr>
        <w:t xml:space="preserve">Abdalla RZ, Garcia RB, Said DF, Abdalla BM. Quality of life of in patients submitted to anterior abdominal wall laparoscopic hernioplasty. </w:t>
      </w:r>
      <w:r w:rsidRPr="00CB6A96">
        <w:rPr>
          <w:rFonts w:asciiTheme="minorHAnsi" w:hAnsiTheme="minorHAnsi" w:cstheme="minorBidi"/>
          <w:i/>
        </w:rPr>
        <w:t>Arq Bras Cir Dig</w:t>
      </w:r>
      <w:r w:rsidRPr="00D268BD">
        <w:rPr>
          <w:rFonts w:asciiTheme="minorHAnsi" w:hAnsiTheme="minorHAnsi" w:cstheme="minorBidi"/>
        </w:rPr>
        <w:t xml:space="preserve"> 2014;27(1):30-33</w:t>
      </w:r>
    </w:p>
    <w:p w14:paraId="60FF6DB0" w14:textId="2612FB33" w:rsidR="00670395" w:rsidRDefault="00670395" w:rsidP="00670395">
      <w:pPr>
        <w:spacing w:line="360" w:lineRule="auto"/>
        <w:ind w:left="851" w:hanging="851"/>
        <w:rPr>
          <w:rFonts w:asciiTheme="minorHAnsi" w:hAnsiTheme="minorHAnsi" w:cstheme="minorBidi"/>
        </w:rPr>
      </w:pPr>
      <w:r>
        <w:rPr>
          <w:rFonts w:asciiTheme="minorHAnsi" w:hAnsiTheme="minorHAnsi" w:cstheme="minorBidi"/>
        </w:rPr>
        <w:t>242.</w:t>
      </w:r>
      <w:r>
        <w:rPr>
          <w:rFonts w:asciiTheme="minorHAnsi" w:hAnsiTheme="minorHAnsi" w:cstheme="minorBidi"/>
        </w:rPr>
        <w:tab/>
      </w:r>
      <w:r w:rsidRPr="00670395">
        <w:rPr>
          <w:rFonts w:asciiTheme="minorHAnsi" w:hAnsiTheme="minorHAnsi" w:cstheme="minorBidi"/>
        </w:rPr>
        <w:t>Bensaadi H, Paolino L, Valenti A, Polliand C, Barrat C, Champault G. Intraperitoneal tension-free repair of a small midline ventral abdominal wall hernia: randomized study with a mean follow-up of 3 years. </w:t>
      </w:r>
      <w:r w:rsidRPr="00670395">
        <w:rPr>
          <w:rFonts w:asciiTheme="minorHAnsi" w:hAnsiTheme="minorHAnsi" w:cstheme="minorBidi"/>
          <w:i/>
          <w:iCs/>
        </w:rPr>
        <w:t>Am Surg</w:t>
      </w:r>
      <w:r w:rsidRPr="00670395">
        <w:rPr>
          <w:rFonts w:asciiTheme="minorHAnsi" w:hAnsiTheme="minorHAnsi" w:cstheme="minorBidi"/>
        </w:rPr>
        <w:t xml:space="preserve"> 2014;80(1):57-65</w:t>
      </w:r>
    </w:p>
    <w:p w14:paraId="540D5230" w14:textId="63507846" w:rsidR="004E1B08" w:rsidRDefault="004E1B08" w:rsidP="004E1B08">
      <w:pPr>
        <w:spacing w:line="360" w:lineRule="auto"/>
        <w:ind w:left="851" w:hanging="851"/>
        <w:rPr>
          <w:rFonts w:asciiTheme="minorHAnsi" w:hAnsiTheme="minorHAnsi" w:cstheme="minorBidi"/>
        </w:rPr>
      </w:pPr>
      <w:r>
        <w:rPr>
          <w:rFonts w:asciiTheme="minorHAnsi" w:hAnsiTheme="minorHAnsi" w:cstheme="minorBidi"/>
        </w:rPr>
        <w:t>243.</w:t>
      </w:r>
      <w:r>
        <w:rPr>
          <w:rFonts w:asciiTheme="minorHAnsi" w:hAnsiTheme="minorHAnsi" w:cstheme="minorBidi"/>
        </w:rPr>
        <w:tab/>
      </w:r>
      <w:r w:rsidRPr="004E1B08">
        <w:rPr>
          <w:rFonts w:asciiTheme="minorHAnsi" w:hAnsiTheme="minorHAnsi" w:cstheme="minorBidi"/>
        </w:rPr>
        <w:t>Dhankhar DS, Sharma N, Mishra T, Kaur N, Singh S, Gupta S. Totally extraperitoneal repair under general anesthesia versus Lichtenstein repair under local anesthesia for unilateral inguinal hernia: a prospective randomized controlled trial. </w:t>
      </w:r>
      <w:r w:rsidRPr="004E1B08">
        <w:rPr>
          <w:rFonts w:asciiTheme="minorHAnsi" w:hAnsiTheme="minorHAnsi" w:cstheme="minorBidi"/>
          <w:i/>
          <w:iCs/>
        </w:rPr>
        <w:t>Surg Endosc</w:t>
      </w:r>
      <w:r w:rsidRPr="004E1B08">
        <w:rPr>
          <w:rFonts w:asciiTheme="minorHAnsi" w:hAnsiTheme="minorHAnsi" w:cstheme="minorBidi"/>
        </w:rPr>
        <w:t xml:space="preserve"> 2014;28(3):996-1002</w:t>
      </w:r>
    </w:p>
    <w:p w14:paraId="1ECC48C0" w14:textId="07227DEE" w:rsidR="00651C60" w:rsidRDefault="00651C60" w:rsidP="00651C60">
      <w:pPr>
        <w:spacing w:line="360" w:lineRule="auto"/>
        <w:ind w:left="851" w:hanging="851"/>
        <w:rPr>
          <w:rFonts w:asciiTheme="minorHAnsi" w:hAnsiTheme="minorHAnsi" w:cstheme="minorBidi"/>
        </w:rPr>
      </w:pPr>
      <w:r>
        <w:rPr>
          <w:rFonts w:asciiTheme="minorHAnsi" w:hAnsiTheme="minorHAnsi" w:cstheme="minorBidi"/>
        </w:rPr>
        <w:t>244.</w:t>
      </w:r>
      <w:r>
        <w:tab/>
      </w:r>
      <w:r w:rsidRPr="00651C60">
        <w:rPr>
          <w:rFonts w:asciiTheme="minorHAnsi" w:hAnsiTheme="minorHAnsi" w:cstheme="minorBidi"/>
        </w:rPr>
        <w:t>Chan MS, Teoh AY, Chan KW, Tang YC, Ng EK, Leong HT. Randomized double-blinded prospective trial of fibrin sealant spray versus mechanical stapling in laparoscopic total extraperitoneal hernioplasty [published correction appears in Ann Surg. 2014 Aug;260(2):408]. </w:t>
      </w:r>
      <w:r w:rsidRPr="00651C60">
        <w:rPr>
          <w:rFonts w:asciiTheme="minorHAnsi" w:hAnsiTheme="minorHAnsi" w:cstheme="minorBidi"/>
          <w:i/>
          <w:iCs/>
        </w:rPr>
        <w:t>Ann Surg</w:t>
      </w:r>
      <w:r w:rsidR="00E92C14">
        <w:rPr>
          <w:rFonts w:asciiTheme="minorHAnsi" w:hAnsiTheme="minorHAnsi" w:cstheme="minorBidi"/>
        </w:rPr>
        <w:t xml:space="preserve"> </w:t>
      </w:r>
      <w:r w:rsidRPr="00651C60">
        <w:rPr>
          <w:rFonts w:asciiTheme="minorHAnsi" w:hAnsiTheme="minorHAnsi" w:cstheme="minorBidi"/>
        </w:rPr>
        <w:t>2014;259(3):432-437</w:t>
      </w:r>
    </w:p>
    <w:p w14:paraId="7B2A6B29" w14:textId="19CAEF39" w:rsidR="00E92C14" w:rsidRDefault="00E92C14" w:rsidP="00651C60">
      <w:pPr>
        <w:spacing w:line="360" w:lineRule="auto"/>
        <w:ind w:left="851" w:hanging="851"/>
        <w:rPr>
          <w:rFonts w:asciiTheme="minorHAnsi" w:hAnsiTheme="minorHAnsi" w:cstheme="minorBidi"/>
        </w:rPr>
      </w:pPr>
      <w:r>
        <w:rPr>
          <w:rFonts w:asciiTheme="minorHAnsi" w:hAnsiTheme="minorHAnsi" w:cstheme="minorBidi"/>
        </w:rPr>
        <w:t>245.</w:t>
      </w:r>
      <w:r>
        <w:tab/>
      </w:r>
      <w:r w:rsidR="002C7D1F" w:rsidRPr="002C7D1F">
        <w:rPr>
          <w:rFonts w:asciiTheme="minorHAnsi" w:hAnsiTheme="minorHAnsi" w:cstheme="minorBidi"/>
        </w:rPr>
        <w:t xml:space="preserve">Bellows CF, Shadduck P, Helton WS, Martindale R, Stouch BC, Fitzgibbons R. Early report of a randomized comparative clinical trial of Strattice™ reconstructive tissue matrix to lightweight synthetic mesh in the repair of inguinal hernias. </w:t>
      </w:r>
      <w:r w:rsidR="002C7D1F" w:rsidRPr="00CB6A96">
        <w:rPr>
          <w:rFonts w:asciiTheme="minorHAnsi" w:hAnsiTheme="minorHAnsi" w:cstheme="minorBidi"/>
          <w:i/>
        </w:rPr>
        <w:t>Hernia</w:t>
      </w:r>
      <w:r w:rsidR="002C7D1F" w:rsidRPr="002C7D1F">
        <w:rPr>
          <w:rFonts w:asciiTheme="minorHAnsi" w:hAnsiTheme="minorHAnsi" w:cstheme="minorBidi"/>
        </w:rPr>
        <w:t xml:space="preserve"> 2014;18(2):221-230</w:t>
      </w:r>
    </w:p>
    <w:p w14:paraId="7CC809BE" w14:textId="35523D98" w:rsidR="002C7D1F" w:rsidRPr="00651C60" w:rsidRDefault="00016968" w:rsidP="00651C60">
      <w:pPr>
        <w:spacing w:line="360" w:lineRule="auto"/>
        <w:ind w:left="851" w:hanging="851"/>
        <w:rPr>
          <w:rFonts w:asciiTheme="minorHAnsi" w:hAnsiTheme="minorHAnsi" w:cstheme="minorBidi"/>
        </w:rPr>
      </w:pPr>
      <w:r>
        <w:rPr>
          <w:rFonts w:asciiTheme="minorHAnsi" w:hAnsiTheme="minorHAnsi" w:cstheme="minorBidi"/>
        </w:rPr>
        <w:t>246.</w:t>
      </w:r>
      <w:r>
        <w:rPr>
          <w:rFonts w:asciiTheme="minorHAnsi" w:hAnsiTheme="minorHAnsi" w:cstheme="minorBidi"/>
        </w:rPr>
        <w:tab/>
      </w:r>
      <w:r w:rsidRPr="00016968">
        <w:rPr>
          <w:rFonts w:asciiTheme="minorHAnsi" w:hAnsiTheme="minorHAnsi" w:cstheme="minorBidi"/>
        </w:rPr>
        <w:t xml:space="preserve">Peeters E, Spiessens C, Oyen R, et al. Sperm motility after laparoscopic inguinal hernia repair with lightweight meshes: 3-year follow-up of a randomised clinical trial. </w:t>
      </w:r>
      <w:r w:rsidRPr="00CB6A96">
        <w:rPr>
          <w:rFonts w:asciiTheme="minorHAnsi" w:hAnsiTheme="minorHAnsi" w:cstheme="minorBidi"/>
          <w:i/>
        </w:rPr>
        <w:t>Hernia</w:t>
      </w:r>
      <w:r w:rsidRPr="00016968">
        <w:rPr>
          <w:rFonts w:asciiTheme="minorHAnsi" w:hAnsiTheme="minorHAnsi" w:cstheme="minorBidi"/>
        </w:rPr>
        <w:t xml:space="preserve"> 2014;18(3):361-367</w:t>
      </w:r>
    </w:p>
    <w:p w14:paraId="57D132BE" w14:textId="3170E61E" w:rsidR="004E1B08" w:rsidRPr="004E1B08" w:rsidRDefault="00016968" w:rsidP="004E1B08">
      <w:pPr>
        <w:spacing w:line="360" w:lineRule="auto"/>
        <w:ind w:left="851" w:hanging="851"/>
        <w:rPr>
          <w:rFonts w:asciiTheme="minorHAnsi" w:hAnsiTheme="minorHAnsi" w:cstheme="minorBidi"/>
        </w:rPr>
      </w:pPr>
      <w:r>
        <w:rPr>
          <w:rFonts w:asciiTheme="minorHAnsi" w:hAnsiTheme="minorHAnsi" w:cstheme="minorBidi"/>
        </w:rPr>
        <w:t>247.</w:t>
      </w:r>
      <w:r>
        <w:rPr>
          <w:rFonts w:asciiTheme="minorHAnsi" w:hAnsiTheme="minorHAnsi" w:cstheme="minorBidi"/>
        </w:rPr>
        <w:tab/>
      </w:r>
      <w:r w:rsidR="00626755" w:rsidRPr="00626755">
        <w:rPr>
          <w:rFonts w:asciiTheme="minorHAnsi" w:hAnsiTheme="minorHAnsi" w:cstheme="minorBidi"/>
        </w:rPr>
        <w:t xml:space="preserve">Stabilini C, Bracale U, Pignata G, et al. Laparoscopic bridging vs. anatomic open reconstruction for midline abdominal hernia mesh repair [LABOR]: single-blinded, multicenter, randomized, controlled trial on long-term functional results. </w:t>
      </w:r>
      <w:r w:rsidR="00626755" w:rsidRPr="00CB6A96">
        <w:rPr>
          <w:rFonts w:asciiTheme="minorHAnsi" w:hAnsiTheme="minorHAnsi" w:cstheme="minorBidi"/>
          <w:i/>
        </w:rPr>
        <w:t xml:space="preserve">Trials </w:t>
      </w:r>
      <w:r w:rsidR="00626755" w:rsidRPr="00626755">
        <w:rPr>
          <w:rFonts w:asciiTheme="minorHAnsi" w:hAnsiTheme="minorHAnsi" w:cstheme="minorBidi"/>
        </w:rPr>
        <w:t>2013;14:357</w:t>
      </w:r>
    </w:p>
    <w:p w14:paraId="733DD005" w14:textId="229857F1" w:rsidR="00132873" w:rsidRPr="00404610" w:rsidRDefault="00132873" w:rsidP="00132873">
      <w:pPr>
        <w:spacing w:line="360" w:lineRule="auto"/>
        <w:ind w:left="851" w:hanging="851"/>
        <w:rPr>
          <w:rFonts w:asciiTheme="minorHAnsi" w:hAnsiTheme="minorHAnsi" w:cstheme="minorBidi"/>
          <w:lang w:val="fr-FR"/>
        </w:rPr>
      </w:pPr>
      <w:r>
        <w:rPr>
          <w:rFonts w:asciiTheme="minorHAnsi" w:hAnsiTheme="minorHAnsi" w:cstheme="minorBidi"/>
        </w:rPr>
        <w:t>248.</w:t>
      </w:r>
      <w:r>
        <w:rPr>
          <w:rFonts w:asciiTheme="minorHAnsi" w:hAnsiTheme="minorHAnsi" w:cstheme="minorBidi"/>
        </w:rPr>
        <w:tab/>
      </w:r>
      <w:r w:rsidRPr="00132873">
        <w:rPr>
          <w:rFonts w:asciiTheme="minorHAnsi" w:hAnsiTheme="minorHAnsi" w:cstheme="minorBidi"/>
        </w:rPr>
        <w:t>Calò PG, Pittau MR, Contu P, D'Aloja E, Nicolosi A, Demontis R. Chronic pain following inguinal hernia repair: assessment of quality of life and medico-legal aspects. </w:t>
      </w:r>
      <w:r w:rsidRPr="00404610">
        <w:rPr>
          <w:rFonts w:asciiTheme="minorHAnsi" w:hAnsiTheme="minorHAnsi" w:cstheme="minorBidi"/>
          <w:i/>
          <w:lang w:val="fr-FR"/>
        </w:rPr>
        <w:t>Ann Ital Chir</w:t>
      </w:r>
      <w:r w:rsidRPr="00404610">
        <w:rPr>
          <w:rFonts w:asciiTheme="minorHAnsi" w:hAnsiTheme="minorHAnsi" w:cstheme="minorBidi"/>
          <w:lang w:val="fr-FR"/>
        </w:rPr>
        <w:t xml:space="preserve"> 2013;84(3):357-363</w:t>
      </w:r>
    </w:p>
    <w:p w14:paraId="35CB0303" w14:textId="44DAA01D" w:rsidR="00903AAC" w:rsidRDefault="00903AAC" w:rsidP="00903AAC">
      <w:pPr>
        <w:spacing w:line="360" w:lineRule="auto"/>
        <w:ind w:left="851" w:hanging="851"/>
        <w:rPr>
          <w:rFonts w:asciiTheme="minorHAnsi" w:hAnsiTheme="minorHAnsi" w:cstheme="minorBidi"/>
        </w:rPr>
      </w:pPr>
      <w:r w:rsidRPr="00404610">
        <w:rPr>
          <w:rFonts w:asciiTheme="minorHAnsi" w:hAnsiTheme="minorHAnsi" w:cstheme="minorBidi"/>
          <w:lang w:val="fr-FR"/>
        </w:rPr>
        <w:t>249.</w:t>
      </w:r>
      <w:r w:rsidRPr="00404610">
        <w:rPr>
          <w:rFonts w:asciiTheme="minorHAnsi" w:hAnsiTheme="minorHAnsi" w:cstheme="minorBidi"/>
          <w:lang w:val="fr-FR"/>
        </w:rPr>
        <w:tab/>
        <w:t xml:space="preserve">Mariette C, Briez N, Denies F, et al. </w:t>
      </w:r>
      <w:r w:rsidRPr="00903AAC">
        <w:rPr>
          <w:rFonts w:asciiTheme="minorHAnsi" w:hAnsiTheme="minorHAnsi" w:cstheme="minorBidi"/>
        </w:rPr>
        <w:t>Use of biological mesh versus standard wound care in infected incisional ventral hernias, the SIMBIOSE study: a study protocol for a randomized multicenter controlled trial. </w:t>
      </w:r>
      <w:r w:rsidRPr="00903AAC">
        <w:rPr>
          <w:rFonts w:asciiTheme="minorHAnsi" w:hAnsiTheme="minorHAnsi" w:cstheme="minorBidi"/>
          <w:i/>
          <w:iCs/>
        </w:rPr>
        <w:t>Trials</w:t>
      </w:r>
      <w:r>
        <w:rPr>
          <w:rFonts w:asciiTheme="minorHAnsi" w:hAnsiTheme="minorHAnsi" w:cstheme="minorBidi"/>
        </w:rPr>
        <w:t xml:space="preserve"> </w:t>
      </w:r>
      <w:r w:rsidRPr="00903AAC">
        <w:rPr>
          <w:rFonts w:asciiTheme="minorHAnsi" w:hAnsiTheme="minorHAnsi" w:cstheme="minorBidi"/>
        </w:rPr>
        <w:t>2013;14:131</w:t>
      </w:r>
    </w:p>
    <w:p w14:paraId="2116B9B7" w14:textId="4BA76E18" w:rsidR="007424D4" w:rsidRPr="007424D4" w:rsidRDefault="00BE75DD" w:rsidP="007424D4">
      <w:pPr>
        <w:spacing w:line="360" w:lineRule="auto"/>
        <w:ind w:left="851" w:hanging="851"/>
        <w:rPr>
          <w:rFonts w:asciiTheme="minorHAnsi" w:hAnsiTheme="minorHAnsi" w:cstheme="minorBidi"/>
        </w:rPr>
      </w:pPr>
      <w:r>
        <w:rPr>
          <w:rFonts w:asciiTheme="minorHAnsi" w:hAnsiTheme="minorHAnsi" w:cstheme="minorBidi"/>
        </w:rPr>
        <w:t>250.</w:t>
      </w:r>
      <w:r>
        <w:rPr>
          <w:rFonts w:asciiTheme="minorHAnsi" w:hAnsiTheme="minorHAnsi" w:cstheme="minorBidi"/>
        </w:rPr>
        <w:tab/>
      </w:r>
      <w:r w:rsidR="007424D4" w:rsidRPr="007424D4">
        <w:rPr>
          <w:rFonts w:asciiTheme="minorHAnsi" w:hAnsiTheme="minorHAnsi" w:cstheme="minorBidi"/>
        </w:rPr>
        <w:t>Coronini-Cronberg S, Appleby J, Thompson J. Application of patient-reported outcome measures (PROMs) data to estimate cost-effectiveness of hernia surgery in England. </w:t>
      </w:r>
      <w:r w:rsidR="007424D4" w:rsidRPr="007424D4">
        <w:rPr>
          <w:rFonts w:asciiTheme="minorHAnsi" w:hAnsiTheme="minorHAnsi" w:cstheme="minorBidi"/>
          <w:i/>
          <w:iCs/>
        </w:rPr>
        <w:t>J R Soc Med</w:t>
      </w:r>
      <w:r w:rsidR="007424D4">
        <w:rPr>
          <w:rFonts w:asciiTheme="minorHAnsi" w:hAnsiTheme="minorHAnsi" w:cstheme="minorBidi"/>
        </w:rPr>
        <w:t xml:space="preserve"> </w:t>
      </w:r>
      <w:r w:rsidR="007424D4" w:rsidRPr="007424D4">
        <w:rPr>
          <w:rFonts w:asciiTheme="minorHAnsi" w:hAnsiTheme="minorHAnsi" w:cstheme="minorBidi"/>
        </w:rPr>
        <w:t>2013;106(7):278-287</w:t>
      </w:r>
    </w:p>
    <w:p w14:paraId="1A5950E5" w14:textId="33B22B9E" w:rsidR="00B60E88" w:rsidRDefault="00B60E88" w:rsidP="00B60E88">
      <w:pPr>
        <w:spacing w:line="360" w:lineRule="auto"/>
        <w:ind w:left="851" w:hanging="851"/>
        <w:rPr>
          <w:rFonts w:asciiTheme="minorHAnsi" w:hAnsiTheme="minorHAnsi" w:cstheme="minorBidi"/>
        </w:rPr>
      </w:pPr>
      <w:r>
        <w:rPr>
          <w:rFonts w:asciiTheme="minorHAnsi" w:hAnsiTheme="minorHAnsi" w:cstheme="minorBidi"/>
        </w:rPr>
        <w:t>251.</w:t>
      </w:r>
      <w:r>
        <w:rPr>
          <w:rFonts w:asciiTheme="minorHAnsi" w:hAnsiTheme="minorHAnsi" w:cstheme="minorBidi"/>
        </w:rPr>
        <w:tab/>
      </w:r>
      <w:r w:rsidRPr="00B60E88">
        <w:rPr>
          <w:rFonts w:asciiTheme="minorHAnsi" w:hAnsiTheme="minorHAnsi" w:cstheme="minorBidi"/>
        </w:rPr>
        <w:t>Eriksen JR, Bisgaard T, Assaadzadeh S, Jorgensen LN, Rosenberg J. Fibrin sealant for mesh fixation in laparoscopic umbilical hernia repair: 1-year results of a randomized controlled double-blinded study. </w:t>
      </w:r>
      <w:r w:rsidRPr="00B60E88">
        <w:rPr>
          <w:rFonts w:asciiTheme="minorHAnsi" w:hAnsiTheme="minorHAnsi" w:cstheme="minorBidi"/>
          <w:i/>
          <w:iCs/>
        </w:rPr>
        <w:t>Hernia</w:t>
      </w:r>
      <w:r>
        <w:rPr>
          <w:rFonts w:asciiTheme="minorHAnsi" w:hAnsiTheme="minorHAnsi" w:cstheme="minorBidi"/>
        </w:rPr>
        <w:t xml:space="preserve"> </w:t>
      </w:r>
      <w:r w:rsidRPr="00B60E88">
        <w:rPr>
          <w:rFonts w:asciiTheme="minorHAnsi" w:hAnsiTheme="minorHAnsi" w:cstheme="minorBidi"/>
        </w:rPr>
        <w:t>2013;17(4):511-514</w:t>
      </w:r>
    </w:p>
    <w:p w14:paraId="4A951770" w14:textId="50E17520" w:rsidR="00E5168F" w:rsidRPr="00404610" w:rsidRDefault="00B60E88" w:rsidP="00E5168F">
      <w:pPr>
        <w:spacing w:line="360" w:lineRule="auto"/>
        <w:ind w:left="851" w:hanging="851"/>
        <w:rPr>
          <w:rFonts w:asciiTheme="minorHAnsi" w:hAnsiTheme="minorHAnsi" w:cstheme="minorBidi"/>
          <w:lang w:val="nl-NL"/>
        </w:rPr>
      </w:pPr>
      <w:r>
        <w:rPr>
          <w:rFonts w:asciiTheme="minorHAnsi" w:hAnsiTheme="minorHAnsi" w:cstheme="minorBidi"/>
        </w:rPr>
        <w:t>252.</w:t>
      </w:r>
      <w:r>
        <w:rPr>
          <w:rFonts w:asciiTheme="minorHAnsi" w:hAnsiTheme="minorHAnsi" w:cstheme="minorBidi"/>
        </w:rPr>
        <w:tab/>
      </w:r>
      <w:r w:rsidR="00E5168F" w:rsidRPr="00E5168F">
        <w:rPr>
          <w:rFonts w:asciiTheme="minorHAnsi" w:hAnsiTheme="minorHAnsi" w:cstheme="minorBidi"/>
        </w:rPr>
        <w:t>Rogmark P, Petersson U, Bringman S, et al. Short-term outcomes for open and laparoscopic midline incisional hernia repair: a randomized multicenter controlled trial: the ProLOVE (prospective randomized trial on open versus laparoscopic operation of ventral eventrations) trial. </w:t>
      </w:r>
      <w:r w:rsidR="00E5168F" w:rsidRPr="00404610">
        <w:rPr>
          <w:rFonts w:asciiTheme="minorHAnsi" w:hAnsiTheme="minorHAnsi" w:cstheme="minorBidi"/>
          <w:i/>
          <w:lang w:val="nl-NL"/>
        </w:rPr>
        <w:t>Ann Surg</w:t>
      </w:r>
      <w:r w:rsidR="00E5168F" w:rsidRPr="00404610">
        <w:rPr>
          <w:rFonts w:asciiTheme="minorHAnsi" w:hAnsiTheme="minorHAnsi" w:cstheme="minorBidi"/>
          <w:lang w:val="nl-NL"/>
        </w:rPr>
        <w:t xml:space="preserve"> 2013;258(1):37-45</w:t>
      </w:r>
    </w:p>
    <w:p w14:paraId="7AC1A551" w14:textId="69FA5E35" w:rsidR="008419F6" w:rsidRDefault="008419F6" w:rsidP="008419F6">
      <w:pPr>
        <w:spacing w:line="360" w:lineRule="auto"/>
        <w:ind w:left="851" w:hanging="851"/>
        <w:rPr>
          <w:rFonts w:asciiTheme="minorHAnsi" w:hAnsiTheme="minorHAnsi" w:cstheme="minorBidi"/>
        </w:rPr>
      </w:pPr>
      <w:r w:rsidRPr="00404610">
        <w:rPr>
          <w:rFonts w:asciiTheme="minorHAnsi" w:hAnsiTheme="minorHAnsi" w:cstheme="minorBidi"/>
          <w:lang w:val="nl-NL"/>
        </w:rPr>
        <w:t>253.</w:t>
      </w:r>
      <w:r w:rsidRPr="00404610">
        <w:rPr>
          <w:rFonts w:asciiTheme="minorHAnsi" w:hAnsiTheme="minorHAnsi" w:cstheme="minorBidi"/>
          <w:lang w:val="nl-NL"/>
        </w:rPr>
        <w:tab/>
        <w:t xml:space="preserve">Muysoms F, Vander Mijnsbrugge G, Pletinckx P, et al. </w:t>
      </w:r>
      <w:r w:rsidRPr="008419F6">
        <w:rPr>
          <w:rFonts w:asciiTheme="minorHAnsi" w:hAnsiTheme="minorHAnsi" w:cstheme="minorBidi"/>
        </w:rPr>
        <w:t>Randomized clinical trial of mesh fixation with "double crown" versus "sutures and tackers" in laparoscopic ventral hernia repair. </w:t>
      </w:r>
      <w:r w:rsidRPr="008419F6">
        <w:rPr>
          <w:rFonts w:asciiTheme="minorHAnsi" w:hAnsiTheme="minorHAnsi" w:cstheme="minorBidi"/>
          <w:i/>
          <w:iCs/>
        </w:rPr>
        <w:t>Hernia</w:t>
      </w:r>
      <w:r w:rsidRPr="008419F6">
        <w:rPr>
          <w:rFonts w:asciiTheme="minorHAnsi" w:hAnsiTheme="minorHAnsi" w:cstheme="minorBidi"/>
        </w:rPr>
        <w:t xml:space="preserve"> 2013;17(5):603-612</w:t>
      </w:r>
    </w:p>
    <w:p w14:paraId="3A8B4B6C" w14:textId="20214CD9" w:rsidR="008419F6" w:rsidRPr="00404610" w:rsidRDefault="006E4566" w:rsidP="008419F6">
      <w:pPr>
        <w:spacing w:line="360" w:lineRule="auto"/>
        <w:ind w:left="851" w:hanging="851"/>
        <w:rPr>
          <w:rFonts w:asciiTheme="minorHAnsi" w:hAnsiTheme="minorHAnsi" w:cstheme="minorBidi"/>
          <w:lang w:val="nl-NL"/>
        </w:rPr>
      </w:pPr>
      <w:r>
        <w:rPr>
          <w:rFonts w:asciiTheme="minorHAnsi" w:hAnsiTheme="minorHAnsi" w:cstheme="minorBidi"/>
        </w:rPr>
        <w:t>254.</w:t>
      </w:r>
      <w:r>
        <w:tab/>
      </w:r>
      <w:r w:rsidRPr="006E4566">
        <w:rPr>
          <w:rFonts w:asciiTheme="minorHAnsi" w:hAnsiTheme="minorHAnsi" w:cstheme="minorBidi"/>
        </w:rPr>
        <w:t xml:space="preserve">Bansal VK, Misra MC, Babu D, et al. A prospective, randomized comparison of long-term outcomes: chronic groin pain and quality of life following totally extraperitoneal (TEP) and transabdominal preperitoneal (TAPP) laparoscopic inguinal hernia repair. </w:t>
      </w:r>
      <w:r w:rsidRPr="00404610">
        <w:rPr>
          <w:rFonts w:asciiTheme="minorHAnsi" w:hAnsiTheme="minorHAnsi" w:cstheme="minorBidi"/>
          <w:i/>
          <w:lang w:val="nl-NL"/>
        </w:rPr>
        <w:t>Surg Endosc</w:t>
      </w:r>
      <w:r w:rsidRPr="00404610">
        <w:rPr>
          <w:rFonts w:asciiTheme="minorHAnsi" w:hAnsiTheme="minorHAnsi" w:cstheme="minorBidi"/>
          <w:lang w:val="nl-NL"/>
        </w:rPr>
        <w:t xml:space="preserve"> 2013;27(7):2373-2382</w:t>
      </w:r>
    </w:p>
    <w:p w14:paraId="13C2015B" w14:textId="458F3AFC" w:rsidR="00473709" w:rsidRDefault="00473709" w:rsidP="00473709">
      <w:pPr>
        <w:spacing w:line="360" w:lineRule="auto"/>
        <w:ind w:left="851" w:hanging="851"/>
        <w:rPr>
          <w:rFonts w:asciiTheme="minorHAnsi" w:hAnsiTheme="minorHAnsi" w:cstheme="minorBidi"/>
        </w:rPr>
      </w:pPr>
      <w:r w:rsidRPr="00404610">
        <w:rPr>
          <w:rFonts w:asciiTheme="minorHAnsi" w:hAnsiTheme="minorHAnsi" w:cstheme="minorBidi"/>
          <w:lang w:val="nl-NL"/>
        </w:rPr>
        <w:t>255.</w:t>
      </w:r>
      <w:r w:rsidRPr="00404610">
        <w:rPr>
          <w:rFonts w:asciiTheme="minorHAnsi" w:hAnsiTheme="minorHAnsi" w:cstheme="minorBidi"/>
          <w:lang w:val="nl-NL"/>
        </w:rPr>
        <w:tab/>
        <w:t xml:space="preserve">Koning GG, Adang EM, Stalmeier PF, Keus F, Vriens PW, van Laarhoven CJ. </w:t>
      </w:r>
      <w:r w:rsidRPr="00473709">
        <w:rPr>
          <w:rFonts w:asciiTheme="minorHAnsi" w:hAnsiTheme="minorHAnsi" w:cstheme="minorBidi"/>
        </w:rPr>
        <w:t>TIPP and Lichtenstein modalities for inguinal hernia repair: a cost minimisation analysis alongside a randomised trial. </w:t>
      </w:r>
      <w:r w:rsidRPr="00473709">
        <w:rPr>
          <w:rFonts w:asciiTheme="minorHAnsi" w:hAnsiTheme="minorHAnsi" w:cstheme="minorBidi"/>
          <w:i/>
          <w:iCs/>
        </w:rPr>
        <w:t>Eur J Health Econ</w:t>
      </w:r>
      <w:r w:rsidRPr="00473709">
        <w:rPr>
          <w:rFonts w:asciiTheme="minorHAnsi" w:hAnsiTheme="minorHAnsi" w:cstheme="minorBidi"/>
        </w:rPr>
        <w:t xml:space="preserve"> 2013;14(6):1027-103</w:t>
      </w:r>
      <w:r>
        <w:rPr>
          <w:rFonts w:asciiTheme="minorHAnsi" w:hAnsiTheme="minorHAnsi" w:cstheme="minorBidi"/>
        </w:rPr>
        <w:t>4</w:t>
      </w:r>
    </w:p>
    <w:p w14:paraId="7EEAFB01" w14:textId="16265451" w:rsidR="006D424D" w:rsidRPr="006D424D" w:rsidRDefault="006D424D" w:rsidP="006D424D">
      <w:pPr>
        <w:spacing w:line="360" w:lineRule="auto"/>
        <w:ind w:left="851" w:hanging="851"/>
        <w:rPr>
          <w:rFonts w:asciiTheme="minorHAnsi" w:hAnsiTheme="minorHAnsi" w:cstheme="minorBidi"/>
        </w:rPr>
      </w:pPr>
      <w:r>
        <w:rPr>
          <w:rFonts w:asciiTheme="minorHAnsi" w:hAnsiTheme="minorHAnsi" w:cstheme="minorBidi"/>
        </w:rPr>
        <w:t>256.</w:t>
      </w:r>
      <w:r>
        <w:rPr>
          <w:rFonts w:asciiTheme="minorHAnsi" w:hAnsiTheme="minorHAnsi" w:cstheme="minorBidi"/>
        </w:rPr>
        <w:tab/>
      </w:r>
      <w:r w:rsidRPr="006D424D">
        <w:rPr>
          <w:rFonts w:asciiTheme="minorHAnsi" w:hAnsiTheme="minorHAnsi" w:cstheme="minorBidi"/>
        </w:rPr>
        <w:t>Jorgensen LN, Sommer T, Assaadzadeh S, et al. Randomized clinical trial of self-gripping mesh versus sutured mesh for Lichtenstein hernia repair. </w:t>
      </w:r>
      <w:r w:rsidRPr="006D424D">
        <w:rPr>
          <w:rFonts w:asciiTheme="minorHAnsi" w:hAnsiTheme="minorHAnsi" w:cstheme="minorBidi"/>
          <w:i/>
          <w:iCs/>
        </w:rPr>
        <w:t>Br J Surg</w:t>
      </w:r>
      <w:r w:rsidRPr="006D424D">
        <w:rPr>
          <w:rFonts w:asciiTheme="minorHAnsi" w:hAnsiTheme="minorHAnsi" w:cstheme="minorBidi"/>
        </w:rPr>
        <w:t xml:space="preserve"> 2013;100(4):474-481</w:t>
      </w:r>
    </w:p>
    <w:p w14:paraId="746DE8EC" w14:textId="38E45847" w:rsidR="0062089C" w:rsidRPr="0062089C" w:rsidRDefault="006D424D" w:rsidP="0062089C">
      <w:pPr>
        <w:spacing w:line="360" w:lineRule="auto"/>
        <w:ind w:left="851" w:hanging="851"/>
        <w:rPr>
          <w:rFonts w:asciiTheme="minorHAnsi" w:hAnsiTheme="minorHAnsi" w:cstheme="minorBidi"/>
        </w:rPr>
      </w:pPr>
      <w:r>
        <w:rPr>
          <w:rFonts w:asciiTheme="minorHAnsi" w:hAnsiTheme="minorHAnsi" w:cstheme="minorBidi"/>
        </w:rPr>
        <w:t>257.</w:t>
      </w:r>
      <w:r>
        <w:rPr>
          <w:rFonts w:asciiTheme="minorHAnsi" w:hAnsiTheme="minorHAnsi" w:cstheme="minorBidi"/>
        </w:rPr>
        <w:tab/>
      </w:r>
      <w:r w:rsidR="0062089C" w:rsidRPr="0062089C">
        <w:rPr>
          <w:rFonts w:asciiTheme="minorHAnsi" w:hAnsiTheme="minorHAnsi" w:cstheme="minorBidi"/>
        </w:rPr>
        <w:t>Yazdankhah Kenary A, Afshin SN, Ahmadi Amoli H, et al. Randomized clinical trial comparing lightweight mesh with heavyweight mesh for primary inguinal hernia repair. </w:t>
      </w:r>
      <w:r w:rsidR="0062089C" w:rsidRPr="0062089C">
        <w:rPr>
          <w:rFonts w:asciiTheme="minorHAnsi" w:hAnsiTheme="minorHAnsi" w:cstheme="minorBidi"/>
          <w:i/>
          <w:iCs/>
        </w:rPr>
        <w:t>Hernia</w:t>
      </w:r>
      <w:r w:rsidR="0062089C" w:rsidRPr="0062089C">
        <w:rPr>
          <w:rFonts w:asciiTheme="minorHAnsi" w:hAnsiTheme="minorHAnsi" w:cstheme="minorBidi"/>
        </w:rPr>
        <w:t xml:space="preserve"> 2013;17(4):471-477</w:t>
      </w:r>
    </w:p>
    <w:p w14:paraId="543CF618" w14:textId="1E839D60" w:rsidR="00820F44" w:rsidRDefault="0062089C" w:rsidP="00820F44">
      <w:pPr>
        <w:spacing w:line="360" w:lineRule="auto"/>
        <w:ind w:left="851" w:hanging="851"/>
        <w:rPr>
          <w:rFonts w:asciiTheme="minorHAnsi" w:hAnsiTheme="minorHAnsi" w:cstheme="minorBidi"/>
        </w:rPr>
      </w:pPr>
      <w:r>
        <w:rPr>
          <w:rFonts w:asciiTheme="minorHAnsi" w:hAnsiTheme="minorHAnsi" w:cstheme="minorBidi"/>
        </w:rPr>
        <w:t>258.</w:t>
      </w:r>
      <w:r>
        <w:rPr>
          <w:rFonts w:asciiTheme="minorHAnsi" w:hAnsiTheme="minorHAnsi" w:cstheme="minorBidi"/>
        </w:rPr>
        <w:tab/>
      </w:r>
      <w:r w:rsidR="00820F44" w:rsidRPr="00820F44">
        <w:rPr>
          <w:rFonts w:asciiTheme="minorHAnsi" w:hAnsiTheme="minorHAnsi" w:cstheme="minorBidi"/>
        </w:rPr>
        <w:t>Lepski G, Vahedi P, Tatagiba MS, Morgalla M. Combined spinal cord and peripheral nerve field stimulation for persistent post-herniorrhaphy pain. </w:t>
      </w:r>
      <w:r w:rsidR="00820F44" w:rsidRPr="00820F44">
        <w:rPr>
          <w:rFonts w:asciiTheme="minorHAnsi" w:hAnsiTheme="minorHAnsi" w:cstheme="minorBidi"/>
          <w:i/>
          <w:iCs/>
        </w:rPr>
        <w:t>Neuromodulation</w:t>
      </w:r>
      <w:r w:rsidR="00820F44">
        <w:rPr>
          <w:rFonts w:asciiTheme="minorHAnsi" w:hAnsiTheme="minorHAnsi" w:cstheme="minorBidi"/>
        </w:rPr>
        <w:t xml:space="preserve"> </w:t>
      </w:r>
      <w:r w:rsidR="00820F44" w:rsidRPr="00820F44">
        <w:rPr>
          <w:rFonts w:asciiTheme="minorHAnsi" w:hAnsiTheme="minorHAnsi" w:cstheme="minorBidi"/>
        </w:rPr>
        <w:t>2013;16(1):84-89</w:t>
      </w:r>
    </w:p>
    <w:p w14:paraId="3D8E44B2" w14:textId="49FCC17F" w:rsidR="00820F44" w:rsidRPr="00820F44" w:rsidRDefault="00D012F1" w:rsidP="00820F44">
      <w:pPr>
        <w:spacing w:line="360" w:lineRule="auto"/>
        <w:ind w:left="851" w:hanging="851"/>
        <w:rPr>
          <w:rFonts w:asciiTheme="minorHAnsi" w:hAnsiTheme="minorHAnsi" w:cstheme="minorBidi"/>
        </w:rPr>
      </w:pPr>
      <w:r>
        <w:rPr>
          <w:rFonts w:asciiTheme="minorHAnsi" w:hAnsiTheme="minorHAnsi" w:cstheme="minorBidi"/>
        </w:rPr>
        <w:t>259.</w:t>
      </w:r>
      <w:r>
        <w:rPr>
          <w:rFonts w:asciiTheme="minorHAnsi" w:hAnsiTheme="minorHAnsi" w:cstheme="minorBidi"/>
        </w:rPr>
        <w:tab/>
      </w:r>
      <w:r w:rsidRPr="00D012F1">
        <w:rPr>
          <w:rFonts w:asciiTheme="minorHAnsi" w:hAnsiTheme="minorHAnsi" w:cstheme="minorBidi"/>
        </w:rPr>
        <w:t xml:space="preserve">Bradley JF 3rd, Williams KB, Wormer BA, et al. Preliminary results of surgical and quality of life outcomes of Physiomesh in an international, prospective study. </w:t>
      </w:r>
      <w:r w:rsidRPr="00CB6A96">
        <w:rPr>
          <w:rFonts w:asciiTheme="minorHAnsi" w:hAnsiTheme="minorHAnsi" w:cstheme="minorBidi"/>
          <w:i/>
        </w:rPr>
        <w:t>Surg Technol In</w:t>
      </w:r>
      <w:r>
        <w:rPr>
          <w:rFonts w:asciiTheme="minorHAnsi" w:hAnsiTheme="minorHAnsi" w:cstheme="minorBidi"/>
          <w:i/>
          <w:iCs/>
        </w:rPr>
        <w:t xml:space="preserve">t </w:t>
      </w:r>
      <w:r w:rsidRPr="00D012F1">
        <w:rPr>
          <w:rFonts w:asciiTheme="minorHAnsi" w:hAnsiTheme="minorHAnsi" w:cstheme="minorBidi"/>
        </w:rPr>
        <w:t>2012;22:113-9</w:t>
      </w:r>
    </w:p>
    <w:p w14:paraId="22CB06DA" w14:textId="5B30754A" w:rsidR="00473709" w:rsidRDefault="00227229" w:rsidP="00473709">
      <w:pPr>
        <w:spacing w:line="360" w:lineRule="auto"/>
        <w:ind w:left="851" w:hanging="851"/>
        <w:rPr>
          <w:rFonts w:asciiTheme="minorHAnsi" w:hAnsiTheme="minorHAnsi" w:cstheme="minorBidi"/>
        </w:rPr>
      </w:pPr>
      <w:r>
        <w:rPr>
          <w:rFonts w:asciiTheme="minorHAnsi" w:hAnsiTheme="minorHAnsi" w:cstheme="minorBidi"/>
        </w:rPr>
        <w:t>260.</w:t>
      </w:r>
      <w:r>
        <w:tab/>
      </w:r>
      <w:r w:rsidRPr="00227229">
        <w:rPr>
          <w:rFonts w:asciiTheme="minorHAnsi" w:hAnsiTheme="minorHAnsi" w:cstheme="minorBidi"/>
        </w:rPr>
        <w:t xml:space="preserve">Lermite E, Arnaud JP. Prospective randomized study comparing quality of life after shoudice or mesh plug repair for inguinal hernia: short-term results. </w:t>
      </w:r>
      <w:r w:rsidRPr="00CB6A96">
        <w:rPr>
          <w:rFonts w:asciiTheme="minorHAnsi" w:hAnsiTheme="minorHAnsi" w:cstheme="minorBidi"/>
          <w:i/>
        </w:rPr>
        <w:t>Surg Technol Int</w:t>
      </w:r>
      <w:r w:rsidRPr="00227229">
        <w:rPr>
          <w:rFonts w:asciiTheme="minorHAnsi" w:hAnsiTheme="minorHAnsi" w:cstheme="minorBidi"/>
        </w:rPr>
        <w:t xml:space="preserve"> 2012;22:101-6</w:t>
      </w:r>
    </w:p>
    <w:p w14:paraId="5411E921" w14:textId="40E69BC6" w:rsidR="001B77C1" w:rsidRPr="00473709" w:rsidRDefault="001B77C1" w:rsidP="00473709">
      <w:pPr>
        <w:spacing w:line="360" w:lineRule="auto"/>
        <w:ind w:left="851" w:hanging="851"/>
        <w:rPr>
          <w:rFonts w:asciiTheme="minorHAnsi" w:hAnsiTheme="minorHAnsi" w:cstheme="minorBidi"/>
        </w:rPr>
      </w:pPr>
      <w:r>
        <w:rPr>
          <w:rFonts w:asciiTheme="minorHAnsi" w:hAnsiTheme="minorHAnsi" w:cstheme="minorBidi"/>
        </w:rPr>
        <w:t>261.</w:t>
      </w:r>
      <w:r>
        <w:tab/>
      </w:r>
      <w:r w:rsidRPr="001B77C1">
        <w:rPr>
          <w:rFonts w:asciiTheme="minorHAnsi" w:hAnsiTheme="minorHAnsi" w:cstheme="minorBidi"/>
        </w:rPr>
        <w:t xml:space="preserve">Bignell M, Partridge G, Mahon D, Rhodes M. Prospective randomized trial of laparoscopic (transabdominal preperitoneal-TAPP) versus open (mesh) repair for bilateral and recurrent inguinal hernia: incidence of chronic groin pain and impact on quality of life: results of 10 year follow-up. </w:t>
      </w:r>
      <w:r w:rsidRPr="00CB6A96">
        <w:rPr>
          <w:rFonts w:asciiTheme="minorHAnsi" w:hAnsiTheme="minorHAnsi" w:cstheme="minorBidi"/>
          <w:i/>
        </w:rPr>
        <w:t>Hernia</w:t>
      </w:r>
      <w:r w:rsidRPr="001B77C1">
        <w:rPr>
          <w:rFonts w:asciiTheme="minorHAnsi" w:hAnsiTheme="minorHAnsi" w:cstheme="minorBidi"/>
        </w:rPr>
        <w:t xml:space="preserve"> 2012;16(6):635-40</w:t>
      </w:r>
    </w:p>
    <w:p w14:paraId="374CC762" w14:textId="3DB320C9" w:rsidR="006E4566" w:rsidRPr="008419F6" w:rsidRDefault="00F56946" w:rsidP="008419F6">
      <w:pPr>
        <w:spacing w:line="360" w:lineRule="auto"/>
        <w:ind w:left="851" w:hanging="851"/>
        <w:rPr>
          <w:rFonts w:asciiTheme="minorHAnsi" w:hAnsiTheme="minorHAnsi" w:cstheme="minorBidi"/>
        </w:rPr>
      </w:pPr>
      <w:r>
        <w:rPr>
          <w:rFonts w:asciiTheme="minorHAnsi" w:hAnsiTheme="minorHAnsi" w:cstheme="minorBidi"/>
        </w:rPr>
        <w:t>262.</w:t>
      </w:r>
      <w:r>
        <w:rPr>
          <w:rFonts w:asciiTheme="minorHAnsi" w:hAnsiTheme="minorHAnsi" w:cstheme="minorBidi"/>
        </w:rPr>
        <w:tab/>
      </w:r>
      <w:r w:rsidRPr="00F56946">
        <w:rPr>
          <w:rFonts w:asciiTheme="minorHAnsi" w:hAnsiTheme="minorHAnsi" w:cstheme="minorBidi"/>
        </w:rPr>
        <w:t xml:space="preserve">Mutter D, Champault G, Binot D, Vix M, Leroy J, Marescaux J. PerFix TM plug versus 4DDOME( R) implants for inguinal hernia repair: prospective multicentric randomised controlled trial. </w:t>
      </w:r>
      <w:r w:rsidRPr="00CB6A96">
        <w:rPr>
          <w:rFonts w:asciiTheme="minorHAnsi" w:hAnsiTheme="minorHAnsi" w:cstheme="minorBidi"/>
          <w:i/>
        </w:rPr>
        <w:t>Hernia</w:t>
      </w:r>
      <w:r w:rsidRPr="00F56946">
        <w:rPr>
          <w:rFonts w:asciiTheme="minorHAnsi" w:hAnsiTheme="minorHAnsi" w:cstheme="minorBidi"/>
        </w:rPr>
        <w:t xml:space="preserve"> 2012;16(5):561-6</w:t>
      </w:r>
    </w:p>
    <w:p w14:paraId="4D6E8048" w14:textId="75D708B0" w:rsidR="00E5168F" w:rsidRPr="00404610" w:rsidRDefault="00F44B2C" w:rsidP="00E5168F">
      <w:pPr>
        <w:spacing w:line="360" w:lineRule="auto"/>
        <w:ind w:left="851" w:hanging="851"/>
        <w:rPr>
          <w:rFonts w:asciiTheme="minorHAnsi" w:hAnsiTheme="minorHAnsi" w:cstheme="minorBidi"/>
          <w:lang w:val="nl-NL"/>
        </w:rPr>
      </w:pPr>
      <w:r>
        <w:rPr>
          <w:rFonts w:asciiTheme="minorHAnsi" w:hAnsiTheme="minorHAnsi" w:cstheme="minorBidi"/>
        </w:rPr>
        <w:t>263.</w:t>
      </w:r>
      <w:r>
        <w:tab/>
      </w:r>
      <w:r w:rsidRPr="00F44B2C">
        <w:rPr>
          <w:rFonts w:asciiTheme="minorHAnsi" w:hAnsiTheme="minorHAnsi" w:cstheme="minorBidi"/>
        </w:rPr>
        <w:t xml:space="preserve">Bansal VK, Misra MC, Babu D, et al. Comparison of long-term outcome and quality of life after laparoscopic repair of incisional and ventral hernias with suture fixation with and without tacks: a prospective, randomized, controlled study. </w:t>
      </w:r>
      <w:r w:rsidRPr="00404610">
        <w:rPr>
          <w:rFonts w:asciiTheme="minorHAnsi" w:hAnsiTheme="minorHAnsi" w:cstheme="minorBidi"/>
          <w:i/>
          <w:lang w:val="nl-NL"/>
        </w:rPr>
        <w:t>Surg Endosc</w:t>
      </w:r>
      <w:r w:rsidRPr="00404610">
        <w:rPr>
          <w:rFonts w:asciiTheme="minorHAnsi" w:hAnsiTheme="minorHAnsi" w:cstheme="minorBidi"/>
          <w:lang w:val="nl-NL"/>
        </w:rPr>
        <w:t xml:space="preserve"> 2012;26(12):3476-85</w:t>
      </w:r>
    </w:p>
    <w:p w14:paraId="1F769254" w14:textId="75D708B0" w:rsidR="009B088E" w:rsidRPr="00E5168F" w:rsidRDefault="009B088E" w:rsidP="00E5168F">
      <w:pPr>
        <w:spacing w:line="360" w:lineRule="auto"/>
        <w:ind w:left="851" w:hanging="851"/>
        <w:rPr>
          <w:rFonts w:asciiTheme="minorHAnsi" w:hAnsiTheme="minorHAnsi" w:cstheme="minorBidi"/>
        </w:rPr>
      </w:pPr>
      <w:r w:rsidRPr="00404610">
        <w:rPr>
          <w:rFonts w:asciiTheme="minorHAnsi" w:hAnsiTheme="minorHAnsi" w:cstheme="minorBidi"/>
          <w:lang w:val="nl-NL"/>
        </w:rPr>
        <w:t>264.</w:t>
      </w:r>
      <w:r w:rsidRPr="00404610">
        <w:rPr>
          <w:lang w:val="nl-NL"/>
        </w:rPr>
        <w:tab/>
      </w:r>
      <w:r w:rsidR="00B57D8B" w:rsidRPr="00404610">
        <w:rPr>
          <w:rFonts w:asciiTheme="minorHAnsi" w:hAnsiTheme="minorHAnsi" w:cstheme="minorBidi"/>
          <w:lang w:val="nl-NL"/>
        </w:rPr>
        <w:t xml:space="preserve">Schouten N, van Dalen T, Smakman N, et al. </w:t>
      </w:r>
      <w:r w:rsidR="00B57D8B" w:rsidRPr="00B57D8B">
        <w:rPr>
          <w:rFonts w:asciiTheme="minorHAnsi" w:hAnsiTheme="minorHAnsi" w:cstheme="minorBidi"/>
        </w:rPr>
        <w:t>The effect of ultrapro or prolene mesh on postoperative pain and well-being following endoscopic Totally Extraperitoneal (TEP) hernia repair (TULP): study protocol for a randomized controlled trial.</w:t>
      </w:r>
      <w:r w:rsidR="00B57D8B" w:rsidRPr="00CB6A96">
        <w:rPr>
          <w:rFonts w:asciiTheme="minorHAnsi" w:hAnsiTheme="minorHAnsi" w:cstheme="minorBidi"/>
          <w:i/>
        </w:rPr>
        <w:t xml:space="preserve"> Trials</w:t>
      </w:r>
      <w:r w:rsidR="00B57D8B" w:rsidRPr="00B57D8B">
        <w:rPr>
          <w:rFonts w:asciiTheme="minorHAnsi" w:hAnsiTheme="minorHAnsi" w:cstheme="minorBidi"/>
        </w:rPr>
        <w:t xml:space="preserve"> 2012;13:76</w:t>
      </w:r>
    </w:p>
    <w:p w14:paraId="17A081A3" w14:textId="6DAD6345" w:rsidR="00B60E88" w:rsidRDefault="00D054F7" w:rsidP="00B60E88">
      <w:pPr>
        <w:spacing w:line="360" w:lineRule="auto"/>
        <w:ind w:left="851" w:hanging="851"/>
        <w:rPr>
          <w:rFonts w:asciiTheme="minorHAnsi" w:hAnsiTheme="minorHAnsi" w:cstheme="minorBidi"/>
        </w:rPr>
      </w:pPr>
      <w:r>
        <w:rPr>
          <w:rFonts w:asciiTheme="minorHAnsi" w:hAnsiTheme="minorHAnsi" w:cstheme="minorBidi"/>
        </w:rPr>
        <w:t>265.</w:t>
      </w:r>
      <w:r>
        <w:tab/>
      </w:r>
      <w:r w:rsidRPr="00D054F7">
        <w:rPr>
          <w:rFonts w:asciiTheme="minorHAnsi" w:hAnsiTheme="minorHAnsi" w:cstheme="minorBidi"/>
        </w:rPr>
        <w:t xml:space="preserve">Eker HH, Langeveld HR, Klitsie PJ, et al. Randomized clinical trial of total extraperitoneal inguinal hernioplasty vs Lichtenstein repair: a long-term follow-up study. </w:t>
      </w:r>
      <w:r w:rsidRPr="00CB6A96">
        <w:rPr>
          <w:rFonts w:asciiTheme="minorHAnsi" w:hAnsiTheme="minorHAnsi" w:cstheme="minorBidi"/>
          <w:i/>
        </w:rPr>
        <w:t xml:space="preserve">Arch Surg </w:t>
      </w:r>
      <w:r w:rsidRPr="00D054F7">
        <w:rPr>
          <w:rFonts w:asciiTheme="minorHAnsi" w:hAnsiTheme="minorHAnsi" w:cstheme="minorBidi"/>
        </w:rPr>
        <w:t>2012;147(3):256-60</w:t>
      </w:r>
    </w:p>
    <w:p w14:paraId="5F003687" w14:textId="4AEFF2D6" w:rsidR="003A78C4" w:rsidRPr="00B60E88" w:rsidRDefault="003A78C4" w:rsidP="00B60E88">
      <w:pPr>
        <w:spacing w:line="360" w:lineRule="auto"/>
        <w:ind w:left="851" w:hanging="851"/>
        <w:rPr>
          <w:rFonts w:asciiTheme="minorHAnsi" w:hAnsiTheme="minorHAnsi" w:cstheme="minorBidi"/>
        </w:rPr>
      </w:pPr>
      <w:r>
        <w:rPr>
          <w:rFonts w:asciiTheme="minorHAnsi" w:hAnsiTheme="minorHAnsi" w:cstheme="minorBidi"/>
        </w:rPr>
        <w:t>266.</w:t>
      </w:r>
      <w:r>
        <w:tab/>
      </w:r>
      <w:r w:rsidRPr="003A78C4">
        <w:rPr>
          <w:rFonts w:asciiTheme="minorHAnsi" w:hAnsiTheme="minorHAnsi" w:cstheme="minorBidi"/>
        </w:rPr>
        <w:t xml:space="preserve">Magnusson J, Nygren J, Thorell A. Lichtenstein, prolene hernia system, and UltraPro Hernia System for primary inguinal hernia repair: one-year outcome of a prospective randomized controlled trial. </w:t>
      </w:r>
      <w:r w:rsidRPr="00CB6A96">
        <w:rPr>
          <w:rFonts w:asciiTheme="minorHAnsi" w:hAnsiTheme="minorHAnsi" w:cstheme="minorBidi"/>
          <w:i/>
        </w:rPr>
        <w:t>Hernia</w:t>
      </w:r>
      <w:r w:rsidRPr="003A78C4">
        <w:rPr>
          <w:rFonts w:asciiTheme="minorHAnsi" w:hAnsiTheme="minorHAnsi" w:cstheme="minorBidi"/>
        </w:rPr>
        <w:t xml:space="preserve"> 2012;16(3):277-85</w:t>
      </w:r>
    </w:p>
    <w:p w14:paraId="55F579E4" w14:textId="47E38856" w:rsidR="00903AAC" w:rsidRPr="00903AAC" w:rsidRDefault="003341FC" w:rsidP="00903AAC">
      <w:pPr>
        <w:spacing w:line="360" w:lineRule="auto"/>
        <w:ind w:left="851" w:hanging="851"/>
        <w:rPr>
          <w:rFonts w:asciiTheme="minorHAnsi" w:hAnsiTheme="minorHAnsi" w:cstheme="minorBidi"/>
        </w:rPr>
      </w:pPr>
      <w:r>
        <w:rPr>
          <w:rFonts w:asciiTheme="minorHAnsi" w:hAnsiTheme="minorHAnsi" w:cstheme="minorBidi"/>
        </w:rPr>
        <w:t>267</w:t>
      </w:r>
      <w:r w:rsidR="00364EE8">
        <w:rPr>
          <w:rFonts w:asciiTheme="minorHAnsi" w:hAnsiTheme="minorHAnsi" w:cstheme="minorBidi"/>
        </w:rPr>
        <w:t>.</w:t>
      </w:r>
      <w:r>
        <w:rPr>
          <w:rFonts w:asciiTheme="minorHAnsi" w:hAnsiTheme="minorHAnsi" w:cstheme="minorBidi"/>
        </w:rPr>
        <w:tab/>
      </w:r>
      <w:r w:rsidRPr="003341FC">
        <w:rPr>
          <w:rFonts w:asciiTheme="minorHAnsi" w:hAnsiTheme="minorHAnsi" w:cstheme="minorBidi"/>
        </w:rPr>
        <w:t xml:space="preserve">Fortelny RH, Petter-Puchner AH, May C, et al. The impact of atraumatic fibrin sealant vs. staple mesh fixation in TAPP hernia repair on chronic pain and quality of life: results of a randomized controlled study. </w:t>
      </w:r>
      <w:r w:rsidRPr="00CB6A96">
        <w:rPr>
          <w:rFonts w:asciiTheme="minorHAnsi" w:hAnsiTheme="minorHAnsi" w:cstheme="minorBidi"/>
          <w:i/>
        </w:rPr>
        <w:t>Surg Endosc</w:t>
      </w:r>
      <w:r w:rsidRPr="003341FC">
        <w:rPr>
          <w:rFonts w:asciiTheme="minorHAnsi" w:hAnsiTheme="minorHAnsi" w:cstheme="minorBidi"/>
        </w:rPr>
        <w:t xml:space="preserve"> 2012;26(1):249-54</w:t>
      </w:r>
    </w:p>
    <w:p w14:paraId="4617F89A" w14:textId="2E92F8FE" w:rsidR="00903AAC" w:rsidRDefault="00364EE8" w:rsidP="00132873">
      <w:pPr>
        <w:spacing w:line="360" w:lineRule="auto"/>
        <w:ind w:left="851" w:hanging="851"/>
        <w:rPr>
          <w:rFonts w:asciiTheme="minorHAnsi" w:hAnsiTheme="minorHAnsi" w:cstheme="minorBidi"/>
        </w:rPr>
      </w:pPr>
      <w:r>
        <w:rPr>
          <w:rFonts w:asciiTheme="minorHAnsi" w:hAnsiTheme="minorHAnsi" w:cstheme="minorBidi"/>
        </w:rPr>
        <w:t>268.</w:t>
      </w:r>
      <w:r>
        <w:tab/>
      </w:r>
      <w:r w:rsidRPr="00364EE8">
        <w:rPr>
          <w:rFonts w:asciiTheme="minorHAnsi" w:hAnsiTheme="minorHAnsi" w:cstheme="minorBidi"/>
        </w:rPr>
        <w:t xml:space="preserve">Yener O, Aksoy F, Guzel P, Boluk S, Dag E, Atak T. Long-term quality of life after hernioplasty using a Prolene hernia system in adult inguinal hernia. </w:t>
      </w:r>
      <w:r w:rsidRPr="00CB6A96">
        <w:rPr>
          <w:rFonts w:asciiTheme="minorHAnsi" w:hAnsiTheme="minorHAnsi" w:cstheme="minorBidi"/>
          <w:i/>
        </w:rPr>
        <w:t>Hernia</w:t>
      </w:r>
      <w:r w:rsidRPr="00364EE8">
        <w:rPr>
          <w:rFonts w:asciiTheme="minorHAnsi" w:hAnsiTheme="minorHAnsi" w:cstheme="minorBidi"/>
        </w:rPr>
        <w:t xml:space="preserve"> 2012;16(1):29-32</w:t>
      </w:r>
    </w:p>
    <w:p w14:paraId="51E20F65" w14:textId="3CD4BB60" w:rsidR="00364EE8" w:rsidRDefault="007C1803" w:rsidP="00132873">
      <w:pPr>
        <w:spacing w:line="360" w:lineRule="auto"/>
        <w:ind w:left="851" w:hanging="851"/>
        <w:rPr>
          <w:rFonts w:asciiTheme="minorHAnsi" w:hAnsiTheme="minorHAnsi" w:cstheme="minorBidi"/>
        </w:rPr>
      </w:pPr>
      <w:r w:rsidRPr="00CB6A96">
        <w:rPr>
          <w:rFonts w:asciiTheme="minorHAnsi" w:hAnsiTheme="minorHAnsi" w:cstheme="minorBidi"/>
          <w:lang w:val="es-ES"/>
        </w:rPr>
        <w:t>269.</w:t>
      </w:r>
      <w:r w:rsidRPr="00CB6A96">
        <w:rPr>
          <w:rFonts w:asciiTheme="minorHAnsi" w:hAnsiTheme="minorHAnsi" w:cstheme="minorBidi"/>
          <w:lang w:val="es-ES"/>
        </w:rPr>
        <w:tab/>
        <w:t xml:space="preserve">Sadowski B, Rodriguez J, Symmonds R, et al. </w:t>
      </w:r>
      <w:r w:rsidRPr="007C1803">
        <w:rPr>
          <w:rFonts w:asciiTheme="minorHAnsi" w:hAnsiTheme="minorHAnsi" w:cstheme="minorBidi"/>
        </w:rPr>
        <w:t xml:space="preserve">Comparison of polypropylene versus polyester mesh in the Lichtenstein hernia repair with respect to chronic pain and discomfort. </w:t>
      </w:r>
      <w:r w:rsidRPr="00CB6A96">
        <w:rPr>
          <w:rFonts w:asciiTheme="minorHAnsi" w:hAnsiTheme="minorHAnsi" w:cstheme="minorBidi"/>
          <w:i/>
        </w:rPr>
        <w:t xml:space="preserve">Hernia </w:t>
      </w:r>
      <w:r w:rsidRPr="007C1803">
        <w:rPr>
          <w:rFonts w:asciiTheme="minorHAnsi" w:hAnsiTheme="minorHAnsi" w:cstheme="minorBidi"/>
        </w:rPr>
        <w:t>2011;15(6):643-54</w:t>
      </w:r>
    </w:p>
    <w:p w14:paraId="487B79A0" w14:textId="6CA95338" w:rsidR="00132873" w:rsidRPr="00132873" w:rsidRDefault="007C1803" w:rsidP="00132873">
      <w:pPr>
        <w:spacing w:line="360" w:lineRule="auto"/>
        <w:ind w:left="851" w:hanging="851"/>
        <w:rPr>
          <w:rFonts w:asciiTheme="minorHAnsi" w:hAnsiTheme="minorHAnsi" w:cstheme="minorBidi"/>
        </w:rPr>
      </w:pPr>
      <w:r>
        <w:rPr>
          <w:rFonts w:asciiTheme="minorHAnsi" w:hAnsiTheme="minorHAnsi" w:cstheme="minorBidi"/>
        </w:rPr>
        <w:t>270.</w:t>
      </w:r>
      <w:r w:rsidR="0050403E">
        <w:rPr>
          <w:rFonts w:asciiTheme="minorHAnsi" w:hAnsiTheme="minorHAnsi" w:cstheme="minorBidi"/>
        </w:rPr>
        <w:tab/>
      </w:r>
      <w:r w:rsidR="0050403E" w:rsidRPr="0050403E">
        <w:rPr>
          <w:rFonts w:asciiTheme="minorHAnsi" w:hAnsiTheme="minorHAnsi" w:cstheme="minorBidi"/>
        </w:rPr>
        <w:t xml:space="preserve">Tollens T, Den Hondt M, Devroe K, et al. Retrospective analysis of umbilical, epigastric, and small incisional hernia repair using the Ventralex TM hernia patch. </w:t>
      </w:r>
      <w:r w:rsidR="0050403E" w:rsidRPr="00CB6A96">
        <w:rPr>
          <w:rFonts w:asciiTheme="minorHAnsi" w:hAnsiTheme="minorHAnsi" w:cstheme="minorBidi"/>
          <w:i/>
        </w:rPr>
        <w:t>Hernia</w:t>
      </w:r>
      <w:r w:rsidR="0050403E">
        <w:rPr>
          <w:rFonts w:asciiTheme="minorHAnsi" w:hAnsiTheme="minorHAnsi" w:cstheme="minorBidi"/>
        </w:rPr>
        <w:t xml:space="preserve"> </w:t>
      </w:r>
      <w:r w:rsidR="0050403E" w:rsidRPr="0050403E">
        <w:rPr>
          <w:rFonts w:asciiTheme="minorHAnsi" w:hAnsiTheme="minorHAnsi" w:cstheme="minorBidi"/>
        </w:rPr>
        <w:t>2011;15(5):531-40</w:t>
      </w:r>
    </w:p>
    <w:p w14:paraId="24917935" w14:textId="0C8C0787" w:rsidR="00670395" w:rsidRPr="00670395" w:rsidRDefault="000A2B09" w:rsidP="00670395">
      <w:pPr>
        <w:spacing w:line="360" w:lineRule="auto"/>
        <w:ind w:left="851" w:hanging="851"/>
        <w:rPr>
          <w:rFonts w:asciiTheme="minorHAnsi" w:hAnsiTheme="minorHAnsi" w:cstheme="minorBidi"/>
        </w:rPr>
      </w:pPr>
      <w:r>
        <w:rPr>
          <w:rFonts w:asciiTheme="minorHAnsi" w:hAnsiTheme="minorHAnsi" w:cstheme="minorBidi"/>
        </w:rPr>
        <w:t>271.</w:t>
      </w:r>
      <w:r>
        <w:tab/>
      </w:r>
      <w:r w:rsidRPr="000A2B09">
        <w:rPr>
          <w:rFonts w:asciiTheme="minorHAnsi" w:hAnsiTheme="minorHAnsi" w:cstheme="minorBidi"/>
        </w:rPr>
        <w:t xml:space="preserve">van den Heuvel B, Dwars BJ, Klassen DR, Bonjer HJ. Is surgical repair of an asymptomatic groin hernia appropriate? A review. </w:t>
      </w:r>
      <w:r w:rsidRPr="00CB6A96">
        <w:rPr>
          <w:rFonts w:asciiTheme="minorHAnsi" w:hAnsiTheme="minorHAnsi" w:cstheme="minorBidi"/>
          <w:i/>
        </w:rPr>
        <w:t>Hernia</w:t>
      </w:r>
      <w:r w:rsidRPr="000A2B09">
        <w:rPr>
          <w:rFonts w:asciiTheme="minorHAnsi" w:hAnsiTheme="minorHAnsi" w:cstheme="minorBidi"/>
        </w:rPr>
        <w:t xml:space="preserve"> 2011;15(3):251-9</w:t>
      </w:r>
    </w:p>
    <w:p w14:paraId="48563D4E" w14:textId="1307575F" w:rsidR="00D268BD" w:rsidRPr="00512ED7" w:rsidRDefault="002F2058" w:rsidP="00512ED7">
      <w:pPr>
        <w:spacing w:line="360" w:lineRule="auto"/>
        <w:ind w:left="851" w:hanging="851"/>
        <w:rPr>
          <w:rFonts w:asciiTheme="minorHAnsi" w:hAnsiTheme="minorHAnsi" w:cstheme="minorBidi"/>
        </w:rPr>
      </w:pPr>
      <w:r>
        <w:rPr>
          <w:rFonts w:asciiTheme="minorHAnsi" w:hAnsiTheme="minorHAnsi" w:cstheme="minorBidi"/>
        </w:rPr>
        <w:t>272.</w:t>
      </w:r>
      <w:r>
        <w:rPr>
          <w:rFonts w:asciiTheme="minorHAnsi" w:hAnsiTheme="minorHAnsi" w:cstheme="minorBidi"/>
        </w:rPr>
        <w:tab/>
      </w:r>
      <w:r w:rsidRPr="002F2058">
        <w:rPr>
          <w:rFonts w:asciiTheme="minorHAnsi" w:hAnsiTheme="minorHAnsi" w:cstheme="minorBidi"/>
        </w:rPr>
        <w:t xml:space="preserve">Nikkolo C, Lepner U, Murruste M, Vaasna T, Seepter H, Tikk T. Randomised clinical trial comparing lightweight mesh with heavyweight mesh for inguinal hernioplasty. </w:t>
      </w:r>
      <w:r w:rsidRPr="00CB6A96">
        <w:rPr>
          <w:rFonts w:asciiTheme="minorHAnsi" w:hAnsiTheme="minorHAnsi" w:cstheme="minorBidi"/>
          <w:i/>
        </w:rPr>
        <w:t>Hernia</w:t>
      </w:r>
      <w:r w:rsidRPr="002F2058">
        <w:rPr>
          <w:rFonts w:asciiTheme="minorHAnsi" w:hAnsiTheme="minorHAnsi" w:cstheme="minorBidi"/>
        </w:rPr>
        <w:t xml:space="preserve"> 2010;14(3):253-8</w:t>
      </w:r>
    </w:p>
    <w:p w14:paraId="4ADC35CF" w14:textId="1B7190A5" w:rsidR="00891D0E" w:rsidRDefault="00663E81" w:rsidP="00891D0E">
      <w:pPr>
        <w:spacing w:line="360" w:lineRule="auto"/>
        <w:ind w:left="851" w:hanging="851"/>
        <w:rPr>
          <w:rFonts w:asciiTheme="minorHAnsi" w:hAnsiTheme="minorHAnsi" w:cstheme="minorBidi"/>
        </w:rPr>
      </w:pPr>
      <w:r>
        <w:rPr>
          <w:rFonts w:asciiTheme="minorHAnsi" w:hAnsiTheme="minorHAnsi" w:cstheme="minorBidi"/>
        </w:rPr>
        <w:t>273.</w:t>
      </w:r>
      <w:r>
        <w:rPr>
          <w:rFonts w:asciiTheme="minorHAnsi" w:hAnsiTheme="minorHAnsi" w:cstheme="minorBidi"/>
        </w:rPr>
        <w:tab/>
      </w:r>
      <w:r w:rsidRPr="00663E81">
        <w:rPr>
          <w:rFonts w:asciiTheme="minorHAnsi" w:hAnsiTheme="minorHAnsi" w:cstheme="minorBidi"/>
        </w:rPr>
        <w:t xml:space="preserve">Polish Hernia Study Group, smietanski M. Randomized clinical trial comparing a polypropylene with a poliglecaprone and polypropylene composite mesh for inguinal hernioplasty. </w:t>
      </w:r>
      <w:r w:rsidRPr="00CB6A96">
        <w:rPr>
          <w:rFonts w:asciiTheme="minorHAnsi" w:hAnsiTheme="minorHAnsi" w:cstheme="minorBidi"/>
          <w:i/>
        </w:rPr>
        <w:t>Br J Surg</w:t>
      </w:r>
      <w:r>
        <w:rPr>
          <w:rFonts w:asciiTheme="minorHAnsi" w:hAnsiTheme="minorHAnsi" w:cstheme="minorBidi"/>
        </w:rPr>
        <w:t xml:space="preserve"> </w:t>
      </w:r>
      <w:r w:rsidRPr="00663E81">
        <w:rPr>
          <w:rFonts w:asciiTheme="minorHAnsi" w:hAnsiTheme="minorHAnsi" w:cstheme="minorBidi"/>
        </w:rPr>
        <w:t>2008;95(12):1462-8</w:t>
      </w:r>
    </w:p>
    <w:p w14:paraId="5A6037E7" w14:textId="36187EEE" w:rsidR="00663E81" w:rsidRPr="00891D0E" w:rsidRDefault="005A6DD5" w:rsidP="11D71CC5">
      <w:pPr>
        <w:spacing w:line="360" w:lineRule="auto"/>
        <w:ind w:left="851" w:hanging="851"/>
        <w:rPr>
          <w:rFonts w:asciiTheme="minorHAnsi" w:hAnsiTheme="minorHAnsi" w:cstheme="minorBidi"/>
        </w:rPr>
      </w:pPr>
      <w:r w:rsidRPr="11D71CC5">
        <w:rPr>
          <w:rFonts w:asciiTheme="minorHAnsi" w:hAnsiTheme="minorHAnsi" w:cstheme="minorBidi"/>
        </w:rPr>
        <w:t>274.</w:t>
      </w:r>
      <w:r>
        <w:tab/>
      </w:r>
      <w:r w:rsidRPr="11D71CC5">
        <w:rPr>
          <w:rFonts w:asciiTheme="minorHAnsi" w:hAnsiTheme="minorHAnsi" w:cstheme="minorBidi"/>
        </w:rPr>
        <w:t xml:space="preserve">Turaga K, Wright A, Lee R, et al. A randomized trial of the peri-operative use of COX-2 inhibitors in Lichtenstein herniorrhaphy. </w:t>
      </w:r>
      <w:r w:rsidRPr="00CB6A96">
        <w:rPr>
          <w:rFonts w:asciiTheme="minorHAnsi" w:hAnsiTheme="minorHAnsi" w:cstheme="minorBidi"/>
          <w:i/>
        </w:rPr>
        <w:t>Hernia</w:t>
      </w:r>
      <w:r w:rsidRPr="11D71CC5">
        <w:rPr>
          <w:rFonts w:asciiTheme="minorHAnsi" w:hAnsiTheme="minorHAnsi" w:cstheme="minorBidi"/>
        </w:rPr>
        <w:t xml:space="preserve"> 2008;12(5):515-9</w:t>
      </w:r>
    </w:p>
    <w:p w14:paraId="7830DED6" w14:textId="10EA5ACE" w:rsidR="00F655DF" w:rsidRPr="00F655DF" w:rsidRDefault="00E50E1D" w:rsidP="11D71CC5">
      <w:pPr>
        <w:spacing w:line="360" w:lineRule="auto"/>
        <w:ind w:left="851" w:hanging="851"/>
        <w:rPr>
          <w:rFonts w:asciiTheme="minorHAnsi" w:hAnsiTheme="minorHAnsi" w:cstheme="minorBidi"/>
        </w:rPr>
      </w:pPr>
      <w:r>
        <w:rPr>
          <w:rFonts w:asciiTheme="minorHAnsi" w:hAnsiTheme="minorHAnsi" w:cstheme="minorBidi"/>
        </w:rPr>
        <w:t>275.</w:t>
      </w:r>
      <w:r>
        <w:rPr>
          <w:rFonts w:asciiTheme="minorHAnsi" w:hAnsiTheme="minorHAnsi" w:cstheme="minorBidi"/>
        </w:rPr>
        <w:tab/>
      </w:r>
      <w:r w:rsidRPr="00E50E1D">
        <w:rPr>
          <w:rFonts w:asciiTheme="minorHAnsi" w:hAnsiTheme="minorHAnsi" w:cstheme="minorBidi"/>
        </w:rPr>
        <w:t xml:space="preserve">Paajanen H. A single-surgeon randomized trial comparing three composite meshes on chronic pain after Lichtenstein hernia repair in local anesthesia. </w:t>
      </w:r>
      <w:r w:rsidRPr="00CB6A96">
        <w:rPr>
          <w:rFonts w:asciiTheme="minorHAnsi" w:hAnsiTheme="minorHAnsi" w:cstheme="minorBidi"/>
          <w:i/>
        </w:rPr>
        <w:t>Hernia</w:t>
      </w:r>
      <w:r>
        <w:rPr>
          <w:rFonts w:asciiTheme="minorHAnsi" w:hAnsiTheme="minorHAnsi" w:cstheme="minorBidi"/>
        </w:rPr>
        <w:t xml:space="preserve"> </w:t>
      </w:r>
      <w:r w:rsidRPr="00E50E1D">
        <w:rPr>
          <w:rFonts w:asciiTheme="minorHAnsi" w:hAnsiTheme="minorHAnsi" w:cstheme="minorBidi"/>
        </w:rPr>
        <w:t>2007;11(4):335-9</w:t>
      </w:r>
    </w:p>
    <w:p w14:paraId="296FE1F8" w14:textId="700CC8D1" w:rsidR="00EB5A4B" w:rsidRPr="00EB5A4B" w:rsidRDefault="0096107A" w:rsidP="00EB5A4B">
      <w:pPr>
        <w:spacing w:line="360" w:lineRule="auto"/>
        <w:ind w:left="851" w:hanging="851"/>
        <w:rPr>
          <w:rFonts w:asciiTheme="minorHAnsi" w:hAnsiTheme="minorHAnsi" w:cstheme="minorBidi"/>
        </w:rPr>
      </w:pPr>
      <w:r>
        <w:rPr>
          <w:rFonts w:asciiTheme="minorHAnsi" w:hAnsiTheme="minorHAnsi" w:cstheme="minorBidi"/>
        </w:rPr>
        <w:t>276.</w:t>
      </w:r>
      <w:r>
        <w:tab/>
      </w:r>
      <w:r w:rsidRPr="0096107A">
        <w:rPr>
          <w:rFonts w:asciiTheme="minorHAnsi" w:hAnsiTheme="minorHAnsi" w:cstheme="minorBidi"/>
        </w:rPr>
        <w:t xml:space="preserve">Hynes DM, Stroupe KT, Luo P, et al. Cost effectiveness of laparoscopic versus open mesh hernia operation: results of a Department of Veterans Affairs randomized clinical trial. </w:t>
      </w:r>
      <w:r w:rsidRPr="00CB6A96">
        <w:rPr>
          <w:rFonts w:asciiTheme="minorHAnsi" w:hAnsiTheme="minorHAnsi" w:cstheme="minorBidi"/>
          <w:i/>
        </w:rPr>
        <w:t>J Am Coll Surg</w:t>
      </w:r>
      <w:r w:rsidRPr="0096107A">
        <w:rPr>
          <w:rFonts w:asciiTheme="minorHAnsi" w:hAnsiTheme="minorHAnsi" w:cstheme="minorBidi"/>
        </w:rPr>
        <w:t xml:space="preserve"> 2006;203(4):447-57</w:t>
      </w:r>
    </w:p>
    <w:p w14:paraId="5290DA15" w14:textId="5FA3401F" w:rsidR="00893CE3" w:rsidRPr="00EB5A4B" w:rsidRDefault="00893CE3" w:rsidP="00EB5A4B">
      <w:pPr>
        <w:spacing w:line="360" w:lineRule="auto"/>
        <w:ind w:left="851" w:hanging="851"/>
        <w:rPr>
          <w:rFonts w:asciiTheme="minorHAnsi" w:hAnsiTheme="minorHAnsi" w:cstheme="minorBidi"/>
        </w:rPr>
      </w:pPr>
      <w:r>
        <w:rPr>
          <w:rFonts w:asciiTheme="minorHAnsi" w:hAnsiTheme="minorHAnsi" w:cstheme="minorBidi"/>
        </w:rPr>
        <w:t>277.</w:t>
      </w:r>
      <w:r>
        <w:tab/>
      </w:r>
      <w:r w:rsidRPr="00893CE3">
        <w:rPr>
          <w:rFonts w:asciiTheme="minorHAnsi" w:hAnsiTheme="minorHAnsi" w:cstheme="minorBidi"/>
        </w:rPr>
        <w:t xml:space="preserve">Pokorny H, Klingler A, Scheyer M, Fugger R, Bischof G. Postoperative pain and quality of life after laparoscopic and open inguinal hernia repair: results of a prospective randomized trial. </w:t>
      </w:r>
      <w:r w:rsidRPr="00CB6A96">
        <w:rPr>
          <w:rFonts w:asciiTheme="minorHAnsi" w:hAnsiTheme="minorHAnsi" w:cstheme="minorBidi"/>
          <w:i/>
        </w:rPr>
        <w:t>Hernia</w:t>
      </w:r>
      <w:r w:rsidRPr="00893CE3">
        <w:rPr>
          <w:rFonts w:asciiTheme="minorHAnsi" w:hAnsiTheme="minorHAnsi" w:cstheme="minorBidi"/>
        </w:rPr>
        <w:t xml:space="preserve"> 2006;10(4):331-7</w:t>
      </w:r>
    </w:p>
    <w:p w14:paraId="1D8CA457" w14:textId="793190D4" w:rsidR="00F137F4" w:rsidRPr="00F137F4" w:rsidRDefault="00893CE3" w:rsidP="00F137F4">
      <w:pPr>
        <w:spacing w:line="360" w:lineRule="auto"/>
        <w:ind w:left="851" w:hanging="851"/>
        <w:rPr>
          <w:rFonts w:asciiTheme="minorHAnsi" w:hAnsiTheme="minorHAnsi" w:cstheme="minorBidi"/>
        </w:rPr>
      </w:pPr>
      <w:r>
        <w:rPr>
          <w:rFonts w:asciiTheme="minorHAnsi" w:hAnsiTheme="minorHAnsi" w:cstheme="minorBidi"/>
        </w:rPr>
        <w:t>278.</w:t>
      </w:r>
      <w:r>
        <w:rPr>
          <w:rFonts w:asciiTheme="minorHAnsi" w:hAnsiTheme="minorHAnsi" w:cstheme="minorBidi"/>
        </w:rPr>
        <w:tab/>
      </w:r>
      <w:r w:rsidR="00F74078" w:rsidRPr="00F74078">
        <w:rPr>
          <w:rFonts w:asciiTheme="minorHAnsi" w:hAnsiTheme="minorHAnsi" w:cstheme="minorBidi"/>
        </w:rPr>
        <w:t xml:space="preserve">Heikkinen T, Wollert S, Osterberg J, Smedberg S, Bringman S. Early results of a randomised trial comparing Prolene and VyproII-mesh in endoscopic extraperitoneal inguinal hernia repair (TEP) of recurrent unilateral hernias. </w:t>
      </w:r>
      <w:r w:rsidR="00F74078" w:rsidRPr="00194420">
        <w:rPr>
          <w:rFonts w:asciiTheme="minorHAnsi" w:hAnsiTheme="minorHAnsi" w:cstheme="minorBidi"/>
          <w:i/>
          <w:iCs/>
        </w:rPr>
        <w:t>Hernia</w:t>
      </w:r>
      <w:r w:rsidR="00F74078" w:rsidRPr="00F74078">
        <w:rPr>
          <w:rFonts w:asciiTheme="minorHAnsi" w:hAnsiTheme="minorHAnsi" w:cstheme="minorBidi"/>
        </w:rPr>
        <w:t xml:space="preserve"> 2006;10(1):34-40</w:t>
      </w:r>
    </w:p>
    <w:p w14:paraId="5B8604CE" w14:textId="23E2D58E" w:rsidR="00CA282C" w:rsidRPr="00082118" w:rsidRDefault="00006433" w:rsidP="00082118">
      <w:pPr>
        <w:spacing w:line="360" w:lineRule="auto"/>
        <w:ind w:left="851" w:hanging="851"/>
        <w:rPr>
          <w:rFonts w:asciiTheme="minorHAnsi" w:hAnsiTheme="minorHAnsi" w:cstheme="minorBidi"/>
        </w:rPr>
      </w:pPr>
      <w:r>
        <w:rPr>
          <w:rFonts w:asciiTheme="minorHAnsi" w:hAnsiTheme="minorHAnsi" w:cstheme="minorBidi"/>
        </w:rPr>
        <w:t>279.</w:t>
      </w:r>
      <w:r>
        <w:rPr>
          <w:rFonts w:asciiTheme="minorHAnsi" w:hAnsiTheme="minorHAnsi" w:cstheme="minorBidi"/>
        </w:rPr>
        <w:tab/>
      </w:r>
      <w:r w:rsidRPr="00006433">
        <w:rPr>
          <w:rFonts w:asciiTheme="minorHAnsi" w:hAnsiTheme="minorHAnsi" w:cstheme="minorBidi"/>
        </w:rPr>
        <w:t xml:space="preserve">Bringman S, Wollert S, Osterberg J, Heikkinen T. Early results of a randomized multicenter trial comparing Prolene and VyproII mesh in bilateral endoscopic extraperitoneal hernioplasty (TEP). </w:t>
      </w:r>
      <w:r w:rsidRPr="00194420">
        <w:rPr>
          <w:rFonts w:asciiTheme="minorHAnsi" w:hAnsiTheme="minorHAnsi" w:cstheme="minorBidi"/>
          <w:i/>
          <w:iCs/>
        </w:rPr>
        <w:t>Surg Endosc</w:t>
      </w:r>
      <w:r>
        <w:rPr>
          <w:rFonts w:asciiTheme="minorHAnsi" w:hAnsiTheme="minorHAnsi" w:cstheme="minorBidi"/>
        </w:rPr>
        <w:t xml:space="preserve"> </w:t>
      </w:r>
      <w:r w:rsidRPr="00006433">
        <w:rPr>
          <w:rFonts w:asciiTheme="minorHAnsi" w:hAnsiTheme="minorHAnsi" w:cstheme="minorBidi"/>
        </w:rPr>
        <w:t xml:space="preserve">2005;19(4):536-40. </w:t>
      </w:r>
    </w:p>
    <w:p w14:paraId="7ED0A256" w14:textId="5394F7C3" w:rsidR="005950F8" w:rsidRPr="005950F8" w:rsidRDefault="00E662B6" w:rsidP="005950F8">
      <w:pPr>
        <w:spacing w:line="360" w:lineRule="auto"/>
        <w:ind w:left="851" w:hanging="851"/>
        <w:rPr>
          <w:rFonts w:asciiTheme="minorHAnsi" w:hAnsiTheme="minorHAnsi" w:cstheme="minorBidi"/>
        </w:rPr>
      </w:pPr>
      <w:r>
        <w:rPr>
          <w:rFonts w:asciiTheme="minorHAnsi" w:hAnsiTheme="minorHAnsi" w:cstheme="minorBidi"/>
        </w:rPr>
        <w:t>280.</w:t>
      </w:r>
      <w:r>
        <w:tab/>
      </w:r>
      <w:r w:rsidRPr="00E662B6">
        <w:rPr>
          <w:rFonts w:asciiTheme="minorHAnsi" w:hAnsiTheme="minorHAnsi" w:cstheme="minorBidi"/>
        </w:rPr>
        <w:t xml:space="preserve">Nienhuijs SW, van Oort I, Keemers-Gels ME, Strobbe LJ, Rosman C. Randomized trial comparing the Prolene Hernia System, mesh plug repair and Lichtenstein method for open inguinal hernia repair. </w:t>
      </w:r>
      <w:r w:rsidRPr="00194420">
        <w:rPr>
          <w:rFonts w:asciiTheme="minorHAnsi" w:hAnsiTheme="minorHAnsi" w:cstheme="minorBidi"/>
          <w:i/>
          <w:iCs/>
        </w:rPr>
        <w:t>Br J Surg</w:t>
      </w:r>
      <w:r>
        <w:rPr>
          <w:rFonts w:asciiTheme="minorHAnsi" w:hAnsiTheme="minorHAnsi" w:cstheme="minorBidi"/>
        </w:rPr>
        <w:t xml:space="preserve"> </w:t>
      </w:r>
      <w:r w:rsidRPr="00E662B6">
        <w:rPr>
          <w:rFonts w:asciiTheme="minorHAnsi" w:hAnsiTheme="minorHAnsi" w:cstheme="minorBidi"/>
        </w:rPr>
        <w:t>2005;92(1):33-8</w:t>
      </w:r>
    </w:p>
    <w:p w14:paraId="51BE16FD" w14:textId="54956458" w:rsidR="00964D9C" w:rsidRPr="00964D9C" w:rsidRDefault="000A427F" w:rsidP="00964D9C">
      <w:pPr>
        <w:spacing w:line="360" w:lineRule="auto"/>
        <w:ind w:left="851" w:hanging="851"/>
        <w:rPr>
          <w:rFonts w:asciiTheme="minorHAnsi" w:hAnsiTheme="minorHAnsi" w:cstheme="minorBidi"/>
        </w:rPr>
      </w:pPr>
      <w:r>
        <w:rPr>
          <w:rFonts w:asciiTheme="minorHAnsi" w:hAnsiTheme="minorHAnsi" w:cstheme="minorBidi"/>
        </w:rPr>
        <w:t>281.</w:t>
      </w:r>
      <w:r>
        <w:rPr>
          <w:rFonts w:asciiTheme="minorHAnsi" w:hAnsiTheme="minorHAnsi" w:cstheme="minorBidi"/>
        </w:rPr>
        <w:tab/>
      </w:r>
      <w:r w:rsidRPr="000A427F">
        <w:rPr>
          <w:rFonts w:asciiTheme="minorHAnsi" w:hAnsiTheme="minorHAnsi" w:cstheme="minorBidi"/>
        </w:rPr>
        <w:t xml:space="preserve">Post S, Weiss B, Willer M, Neufang T, Lorenz D. Randomized clinical trial of lightweight composite mesh for Lichtenstein inguinal hernia repair. </w:t>
      </w:r>
      <w:r w:rsidRPr="00194420">
        <w:rPr>
          <w:rFonts w:asciiTheme="minorHAnsi" w:hAnsiTheme="minorHAnsi" w:cstheme="minorBidi"/>
          <w:i/>
          <w:iCs/>
        </w:rPr>
        <w:t>Br J Surg</w:t>
      </w:r>
      <w:r w:rsidRPr="000A427F">
        <w:rPr>
          <w:rFonts w:asciiTheme="minorHAnsi" w:hAnsiTheme="minorHAnsi" w:cstheme="minorBidi"/>
        </w:rPr>
        <w:t xml:space="preserve"> 2004;91(1):44-8. </w:t>
      </w:r>
    </w:p>
    <w:p w14:paraId="5E8EC7B9" w14:textId="5AD75A10" w:rsidR="00FA16EB" w:rsidRPr="00D85662" w:rsidRDefault="007F0726" w:rsidP="00D85662">
      <w:pPr>
        <w:spacing w:line="360" w:lineRule="auto"/>
        <w:ind w:left="851" w:hanging="851"/>
        <w:rPr>
          <w:rFonts w:asciiTheme="minorHAnsi" w:hAnsiTheme="minorHAnsi" w:cstheme="minorBidi"/>
        </w:rPr>
      </w:pPr>
      <w:r>
        <w:rPr>
          <w:rFonts w:asciiTheme="minorHAnsi" w:hAnsiTheme="minorHAnsi" w:cstheme="minorBidi"/>
        </w:rPr>
        <w:t>282.</w:t>
      </w:r>
      <w:r>
        <w:tab/>
      </w:r>
      <w:r w:rsidRPr="007F0726">
        <w:rPr>
          <w:rFonts w:asciiTheme="minorHAnsi" w:hAnsiTheme="minorHAnsi" w:cstheme="minorBidi"/>
        </w:rPr>
        <w:t xml:space="preserve">Fitzgibbons RJ, Jonasson O, Gibbs J, et al. The development of a clinical trial to determine if watchful waiting is an acceptable alternative to routine herniorrhaphy for patients with minimal or no hernia symptoms. </w:t>
      </w:r>
      <w:r w:rsidRPr="00194420">
        <w:rPr>
          <w:rFonts w:asciiTheme="minorHAnsi" w:hAnsiTheme="minorHAnsi" w:cstheme="minorBidi"/>
          <w:i/>
          <w:iCs/>
        </w:rPr>
        <w:t>J Am Coll Surg</w:t>
      </w:r>
      <w:r w:rsidRPr="007F0726">
        <w:rPr>
          <w:rFonts w:asciiTheme="minorHAnsi" w:hAnsiTheme="minorHAnsi" w:cstheme="minorBidi"/>
        </w:rPr>
        <w:t xml:space="preserve"> 2003;196(5):737-42</w:t>
      </w:r>
    </w:p>
    <w:p w14:paraId="2EDA61A9" w14:textId="63A719A4" w:rsidR="00D85662" w:rsidRPr="00194420" w:rsidRDefault="00F54EE6" w:rsidP="002900BB">
      <w:pPr>
        <w:spacing w:line="360" w:lineRule="auto"/>
        <w:ind w:left="851" w:hanging="851"/>
        <w:rPr>
          <w:rFonts w:asciiTheme="minorHAnsi" w:hAnsiTheme="minorHAnsi" w:cstheme="minorBidi"/>
          <w:lang w:val="es-ES"/>
        </w:rPr>
      </w:pPr>
      <w:r>
        <w:rPr>
          <w:rFonts w:asciiTheme="minorHAnsi" w:hAnsiTheme="minorHAnsi" w:cstheme="minorBidi"/>
        </w:rPr>
        <w:t>283.</w:t>
      </w:r>
      <w:r>
        <w:rPr>
          <w:rFonts w:asciiTheme="minorHAnsi" w:hAnsiTheme="minorHAnsi" w:cstheme="minorBidi"/>
        </w:rPr>
        <w:tab/>
      </w:r>
      <w:r w:rsidRPr="00F54EE6">
        <w:rPr>
          <w:rFonts w:asciiTheme="minorHAnsi" w:hAnsiTheme="minorHAnsi" w:cstheme="minorBidi"/>
        </w:rPr>
        <w:t xml:space="preserve">Sarli L, Iusco DR, Sansebastiano G, Costi R. Simultaneous repair of bilateral inguinal hernias: a prospective, randomized study of open, tension-free versus laparoscopic approach. </w:t>
      </w:r>
      <w:r w:rsidRPr="00194420">
        <w:rPr>
          <w:rFonts w:asciiTheme="minorHAnsi" w:hAnsiTheme="minorHAnsi" w:cstheme="minorBidi"/>
          <w:i/>
          <w:iCs/>
          <w:lang w:val="es-ES"/>
        </w:rPr>
        <w:t>Surg Laparosc Endosc Percutan Tech</w:t>
      </w:r>
      <w:r w:rsidRPr="00194420">
        <w:rPr>
          <w:rFonts w:asciiTheme="minorHAnsi" w:hAnsiTheme="minorHAnsi" w:cstheme="minorBidi"/>
          <w:lang w:val="es-ES"/>
        </w:rPr>
        <w:t xml:space="preserve"> 2001;11(4):262-7</w:t>
      </w:r>
    </w:p>
    <w:p w14:paraId="49F46336" w14:textId="22927EF5" w:rsidR="003E67FB" w:rsidRDefault="00194420" w:rsidP="00E916C6">
      <w:pPr>
        <w:spacing w:line="360" w:lineRule="auto"/>
        <w:ind w:left="851" w:hanging="851"/>
        <w:rPr>
          <w:rFonts w:asciiTheme="minorHAnsi" w:hAnsiTheme="minorHAnsi" w:cstheme="minorBidi"/>
        </w:rPr>
      </w:pPr>
      <w:r w:rsidRPr="00194420">
        <w:rPr>
          <w:rFonts w:asciiTheme="minorHAnsi" w:hAnsiTheme="minorHAnsi" w:cstheme="minorBidi"/>
          <w:lang w:val="es-ES"/>
        </w:rPr>
        <w:t>284.</w:t>
      </w:r>
      <w:r w:rsidRPr="00194420">
        <w:rPr>
          <w:rFonts w:asciiTheme="minorHAnsi" w:hAnsiTheme="minorHAnsi" w:cstheme="minorBidi"/>
          <w:lang w:val="es-ES"/>
        </w:rPr>
        <w:tab/>
        <w:t xml:space="preserve">Liem MS, Halsema JA, van der Graaf Y, Schrijvers AJ, van Vroonhoven TJ. </w:t>
      </w:r>
      <w:r w:rsidRPr="00194420">
        <w:rPr>
          <w:rFonts w:asciiTheme="minorHAnsi" w:hAnsiTheme="minorHAnsi" w:cstheme="minorBidi"/>
        </w:rPr>
        <w:t xml:space="preserve">Cost-effectiveness of extraperitoneal laparoscopic inguinal hernia repair: a randomized comparison with conventional herniorrhaphy. Coala trial group. </w:t>
      </w:r>
      <w:r w:rsidRPr="00194420">
        <w:rPr>
          <w:rFonts w:asciiTheme="minorHAnsi" w:hAnsiTheme="minorHAnsi" w:cstheme="minorBidi"/>
          <w:i/>
          <w:iCs/>
        </w:rPr>
        <w:t xml:space="preserve">Ann Surg </w:t>
      </w:r>
      <w:r w:rsidRPr="00194420">
        <w:rPr>
          <w:rFonts w:asciiTheme="minorHAnsi" w:hAnsiTheme="minorHAnsi" w:cstheme="minorBidi"/>
        </w:rPr>
        <w:t>1997;226(6):668-75</w:t>
      </w:r>
    </w:p>
    <w:p w14:paraId="0EA94829" w14:textId="6DEEC2F3" w:rsidR="00E916C6" w:rsidRPr="00E916C6" w:rsidRDefault="00C61E91" w:rsidP="00E916C6">
      <w:pPr>
        <w:spacing w:line="360" w:lineRule="auto"/>
        <w:ind w:left="851" w:hanging="851"/>
        <w:rPr>
          <w:rFonts w:asciiTheme="minorHAnsi" w:hAnsiTheme="minorHAnsi" w:cstheme="minorBidi"/>
        </w:rPr>
      </w:pPr>
      <w:r>
        <w:rPr>
          <w:rFonts w:asciiTheme="minorHAnsi" w:hAnsiTheme="minorHAnsi" w:cstheme="minorBidi"/>
        </w:rPr>
        <w:t>285.</w:t>
      </w:r>
      <w:r>
        <w:rPr>
          <w:rFonts w:asciiTheme="minorHAnsi" w:hAnsiTheme="minorHAnsi" w:cstheme="minorBidi"/>
        </w:rPr>
        <w:tab/>
      </w:r>
      <w:r w:rsidRPr="00C61E91">
        <w:rPr>
          <w:rFonts w:asciiTheme="minorHAnsi" w:hAnsiTheme="minorHAnsi" w:cstheme="minorBidi"/>
        </w:rPr>
        <w:t xml:space="preserve">Kawabata R, Fujitani K, Sakamaki K, et al. Survival analysis of a prospective multicenter observational study on surgical palliation among patients with malignant bowel obstruction caused by peritoneal dissemination of gastric cancer. </w:t>
      </w:r>
      <w:r w:rsidRPr="002E2E90">
        <w:rPr>
          <w:rFonts w:asciiTheme="minorHAnsi" w:hAnsiTheme="minorHAnsi" w:cstheme="minorBidi"/>
          <w:i/>
          <w:iCs/>
        </w:rPr>
        <w:t xml:space="preserve">Gastric Cancer </w:t>
      </w:r>
      <w:r w:rsidRPr="00C61E91">
        <w:rPr>
          <w:rFonts w:asciiTheme="minorHAnsi" w:hAnsiTheme="minorHAnsi" w:cstheme="minorBidi"/>
        </w:rPr>
        <w:t>2022;25(2):422-429</w:t>
      </w:r>
    </w:p>
    <w:p w14:paraId="69567C05" w14:textId="78478F38" w:rsidR="001F0B2F" w:rsidRPr="00210CB4" w:rsidRDefault="00C61E91" w:rsidP="00210CB4">
      <w:pPr>
        <w:spacing w:line="360" w:lineRule="auto"/>
        <w:ind w:left="851" w:hanging="851"/>
        <w:rPr>
          <w:rFonts w:asciiTheme="minorHAnsi" w:hAnsiTheme="minorHAnsi" w:cstheme="minorBidi"/>
        </w:rPr>
      </w:pPr>
      <w:r>
        <w:rPr>
          <w:rFonts w:asciiTheme="minorHAnsi" w:hAnsiTheme="minorHAnsi" w:cstheme="minorBidi"/>
        </w:rPr>
        <w:t>286.</w:t>
      </w:r>
      <w:r w:rsidR="00B707F3">
        <w:tab/>
      </w:r>
      <w:r w:rsidR="00B707F3" w:rsidRPr="00B707F3">
        <w:rPr>
          <w:rFonts w:asciiTheme="minorHAnsi" w:hAnsiTheme="minorHAnsi" w:cstheme="minorBidi"/>
        </w:rPr>
        <w:t xml:space="preserve">Ito Y, Fujitani K, Sakamaki K, et al. QOL assessment after palliative surgery for malignant bowel obstruction caused by peritoneal dissemination of gastric cancer: a prospective multicenter observational study. </w:t>
      </w:r>
      <w:r w:rsidR="00B707F3" w:rsidRPr="002E2E90">
        <w:rPr>
          <w:rFonts w:asciiTheme="minorHAnsi" w:hAnsiTheme="minorHAnsi" w:cstheme="minorBidi"/>
          <w:i/>
          <w:iCs/>
        </w:rPr>
        <w:t>Gastric Cancer</w:t>
      </w:r>
      <w:r w:rsidR="00B707F3" w:rsidRPr="00B707F3">
        <w:rPr>
          <w:rFonts w:asciiTheme="minorHAnsi" w:hAnsiTheme="minorHAnsi" w:cstheme="minorBidi"/>
        </w:rPr>
        <w:t xml:space="preserve"> 2021;24(5):1131-1139</w:t>
      </w:r>
    </w:p>
    <w:p w14:paraId="1739B20A" w14:textId="5C78CEF4" w:rsidR="00470AE4" w:rsidRPr="003D0711" w:rsidRDefault="007079F9" w:rsidP="003D0711">
      <w:pPr>
        <w:spacing w:line="360" w:lineRule="auto"/>
        <w:ind w:left="851" w:hanging="851"/>
        <w:rPr>
          <w:rFonts w:asciiTheme="minorHAnsi" w:hAnsiTheme="minorHAnsi" w:cstheme="minorHAnsi"/>
          <w:b/>
          <w:sz w:val="24"/>
          <w:szCs w:val="24"/>
        </w:rPr>
      </w:pPr>
      <w:r>
        <w:rPr>
          <w:rFonts w:asciiTheme="minorHAnsi" w:hAnsiTheme="minorHAnsi" w:cstheme="minorBidi"/>
        </w:rPr>
        <w:t>287.</w:t>
      </w:r>
      <w:r>
        <w:rPr>
          <w:rFonts w:asciiTheme="minorHAnsi" w:hAnsiTheme="minorHAnsi" w:cstheme="minorBidi"/>
        </w:rPr>
        <w:tab/>
      </w:r>
      <w:r w:rsidRPr="007079F9">
        <w:rPr>
          <w:rFonts w:asciiTheme="minorHAnsi" w:hAnsiTheme="minorHAnsi" w:cstheme="minorBidi"/>
        </w:rPr>
        <w:t xml:space="preserve">Tabusa H, Blazeby JM, Blencowe N, et al. Protocol for the UK cohort study to investigate the prevention of parastomal hernia (the CIPHER study). </w:t>
      </w:r>
      <w:r w:rsidRPr="002E2E90">
        <w:rPr>
          <w:rFonts w:asciiTheme="minorHAnsi" w:hAnsiTheme="minorHAnsi" w:cstheme="minorBidi"/>
          <w:i/>
          <w:iCs/>
        </w:rPr>
        <w:t>Colorectal Dis</w:t>
      </w:r>
      <w:r w:rsidRPr="007079F9">
        <w:rPr>
          <w:rFonts w:asciiTheme="minorHAnsi" w:hAnsiTheme="minorHAnsi" w:cstheme="minorBidi"/>
        </w:rPr>
        <w:t xml:space="preserve"> 2021;23(7):1900-1908</w:t>
      </w:r>
    </w:p>
    <w:sectPr w:rsidR="00470AE4" w:rsidRPr="003D0711" w:rsidSect="003D0711">
      <w:headerReference w:type="even" r:id="rId8"/>
      <w:headerReference w:type="default" r:id="rId9"/>
      <w:footerReference w:type="even"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86F5" w14:textId="77777777" w:rsidR="00C90553" w:rsidRDefault="00C90553">
      <w:r>
        <w:separator/>
      </w:r>
    </w:p>
  </w:endnote>
  <w:endnote w:type="continuationSeparator" w:id="0">
    <w:p w14:paraId="60F6D001" w14:textId="77777777" w:rsidR="00C90553" w:rsidRDefault="00C90553">
      <w:r>
        <w:continuationSeparator/>
      </w:r>
    </w:p>
  </w:endnote>
  <w:endnote w:type="continuationNotice" w:id="1">
    <w:p w14:paraId="68DE8D43" w14:textId="77777777" w:rsidR="00C90553" w:rsidRDefault="00C90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92B2" w14:textId="77777777" w:rsidR="00FB1E50" w:rsidRDefault="00FB1E50">
    <w:pPr>
      <w:pStyle w:val="Footer"/>
    </w:pPr>
  </w:p>
  <w:p w14:paraId="507E7402" w14:textId="77777777" w:rsidR="00FB1E50" w:rsidRDefault="00FB1E50"/>
  <w:p w14:paraId="00CB7AE5" w14:textId="77777777" w:rsidR="00FB1E50" w:rsidRDefault="00FB1E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8A41" w14:textId="77777777" w:rsidR="00FB1E50" w:rsidRDefault="00FB1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6A1BA" w14:textId="77777777" w:rsidR="00C90553" w:rsidRDefault="00C90553">
      <w:r>
        <w:separator/>
      </w:r>
    </w:p>
  </w:footnote>
  <w:footnote w:type="continuationSeparator" w:id="0">
    <w:p w14:paraId="0D96C245" w14:textId="77777777" w:rsidR="00C90553" w:rsidRDefault="00C90553">
      <w:r>
        <w:continuationSeparator/>
      </w:r>
    </w:p>
  </w:footnote>
  <w:footnote w:type="continuationNotice" w:id="1">
    <w:p w14:paraId="1646B225" w14:textId="77777777" w:rsidR="00C90553" w:rsidRDefault="00C90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5253" w14:textId="77777777" w:rsidR="00FB1E50" w:rsidRDefault="00FB1E50">
    <w:pPr>
      <w:pStyle w:val="Header"/>
    </w:pPr>
  </w:p>
  <w:p w14:paraId="45D5A32A" w14:textId="77777777" w:rsidR="00FB1E50" w:rsidRDefault="00FB1E50"/>
  <w:p w14:paraId="5D9FA8E3" w14:textId="77777777" w:rsidR="00FB1E50" w:rsidRDefault="00FB1E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442D" w14:textId="77777777" w:rsidR="00FB1E50" w:rsidRDefault="00FB1E50">
    <w:pPr>
      <w:pStyle w:val="Header"/>
    </w:pPr>
  </w:p>
  <w:p w14:paraId="5A0C63BB" w14:textId="77777777" w:rsidR="00FB1E50" w:rsidRDefault="00FB1E50"/>
  <w:p w14:paraId="12FD1E3C" w14:textId="77777777" w:rsidR="00FB1E50" w:rsidRDefault="00FB1E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0A47" w14:textId="77777777" w:rsidR="00FB1E50" w:rsidRDefault="00FB1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2792"/>
    <w:multiLevelType w:val="multilevel"/>
    <w:tmpl w:val="8F18F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D1597"/>
    <w:multiLevelType w:val="hybridMultilevel"/>
    <w:tmpl w:val="FFFFFFFF"/>
    <w:lvl w:ilvl="0" w:tplc="D4429354">
      <w:start w:val="1"/>
      <w:numFmt w:val="bullet"/>
      <w:lvlText w:val=""/>
      <w:lvlJc w:val="left"/>
      <w:pPr>
        <w:ind w:left="720" w:hanging="360"/>
      </w:pPr>
      <w:rPr>
        <w:rFonts w:ascii="Symbol" w:hAnsi="Symbol" w:hint="default"/>
      </w:rPr>
    </w:lvl>
    <w:lvl w:ilvl="1" w:tplc="8878D0A4">
      <w:start w:val="1"/>
      <w:numFmt w:val="bullet"/>
      <w:lvlText w:val="o"/>
      <w:lvlJc w:val="left"/>
      <w:pPr>
        <w:ind w:left="1440" w:hanging="360"/>
      </w:pPr>
      <w:rPr>
        <w:rFonts w:ascii="Courier New" w:hAnsi="Courier New" w:hint="default"/>
      </w:rPr>
    </w:lvl>
    <w:lvl w:ilvl="2" w:tplc="DD5EF340">
      <w:start w:val="1"/>
      <w:numFmt w:val="bullet"/>
      <w:lvlText w:val=""/>
      <w:lvlJc w:val="left"/>
      <w:pPr>
        <w:ind w:left="2160" w:hanging="360"/>
      </w:pPr>
      <w:rPr>
        <w:rFonts w:ascii="Wingdings" w:hAnsi="Wingdings" w:hint="default"/>
      </w:rPr>
    </w:lvl>
    <w:lvl w:ilvl="3" w:tplc="73F4B6EC">
      <w:start w:val="1"/>
      <w:numFmt w:val="bullet"/>
      <w:lvlText w:val=""/>
      <w:lvlJc w:val="left"/>
      <w:pPr>
        <w:ind w:left="2880" w:hanging="360"/>
      </w:pPr>
      <w:rPr>
        <w:rFonts w:ascii="Symbol" w:hAnsi="Symbol" w:hint="default"/>
      </w:rPr>
    </w:lvl>
    <w:lvl w:ilvl="4" w:tplc="1FB2592E">
      <w:start w:val="1"/>
      <w:numFmt w:val="bullet"/>
      <w:lvlText w:val="o"/>
      <w:lvlJc w:val="left"/>
      <w:pPr>
        <w:ind w:left="3600" w:hanging="360"/>
      </w:pPr>
      <w:rPr>
        <w:rFonts w:ascii="Courier New" w:hAnsi="Courier New" w:hint="default"/>
      </w:rPr>
    </w:lvl>
    <w:lvl w:ilvl="5" w:tplc="8D5A45CA">
      <w:start w:val="1"/>
      <w:numFmt w:val="bullet"/>
      <w:lvlText w:val=""/>
      <w:lvlJc w:val="left"/>
      <w:pPr>
        <w:ind w:left="4320" w:hanging="360"/>
      </w:pPr>
      <w:rPr>
        <w:rFonts w:ascii="Wingdings" w:hAnsi="Wingdings" w:hint="default"/>
      </w:rPr>
    </w:lvl>
    <w:lvl w:ilvl="6" w:tplc="EA765AB6">
      <w:start w:val="1"/>
      <w:numFmt w:val="bullet"/>
      <w:lvlText w:val=""/>
      <w:lvlJc w:val="left"/>
      <w:pPr>
        <w:ind w:left="5040" w:hanging="360"/>
      </w:pPr>
      <w:rPr>
        <w:rFonts w:ascii="Symbol" w:hAnsi="Symbol" w:hint="default"/>
      </w:rPr>
    </w:lvl>
    <w:lvl w:ilvl="7" w:tplc="4BDEF914">
      <w:start w:val="1"/>
      <w:numFmt w:val="bullet"/>
      <w:lvlText w:val="o"/>
      <w:lvlJc w:val="left"/>
      <w:pPr>
        <w:ind w:left="5760" w:hanging="360"/>
      </w:pPr>
      <w:rPr>
        <w:rFonts w:ascii="Courier New" w:hAnsi="Courier New" w:hint="default"/>
      </w:rPr>
    </w:lvl>
    <w:lvl w:ilvl="8" w:tplc="F9D63260">
      <w:start w:val="1"/>
      <w:numFmt w:val="bullet"/>
      <w:lvlText w:val=""/>
      <w:lvlJc w:val="left"/>
      <w:pPr>
        <w:ind w:left="6480" w:hanging="360"/>
      </w:pPr>
      <w:rPr>
        <w:rFonts w:ascii="Wingdings" w:hAnsi="Wingdings" w:hint="default"/>
      </w:rPr>
    </w:lvl>
  </w:abstractNum>
  <w:abstractNum w:abstractNumId="2" w15:restartNumberingAfterBreak="0">
    <w:nsid w:val="06910B36"/>
    <w:multiLevelType w:val="hybridMultilevel"/>
    <w:tmpl w:val="676AE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61A47"/>
    <w:multiLevelType w:val="hybridMultilevel"/>
    <w:tmpl w:val="FFFFFFFF"/>
    <w:lvl w:ilvl="0" w:tplc="B1B4E6B4">
      <w:start w:val="1"/>
      <w:numFmt w:val="bullet"/>
      <w:lvlText w:val=""/>
      <w:lvlJc w:val="left"/>
      <w:pPr>
        <w:ind w:left="720" w:hanging="360"/>
      </w:pPr>
      <w:rPr>
        <w:rFonts w:ascii="Symbol" w:hAnsi="Symbol" w:hint="default"/>
      </w:rPr>
    </w:lvl>
    <w:lvl w:ilvl="1" w:tplc="104E00BE">
      <w:start w:val="1"/>
      <w:numFmt w:val="bullet"/>
      <w:lvlText w:val="o"/>
      <w:lvlJc w:val="left"/>
      <w:pPr>
        <w:ind w:left="1440" w:hanging="360"/>
      </w:pPr>
      <w:rPr>
        <w:rFonts w:ascii="Courier New" w:hAnsi="Courier New" w:hint="default"/>
      </w:rPr>
    </w:lvl>
    <w:lvl w:ilvl="2" w:tplc="E050F806">
      <w:start w:val="1"/>
      <w:numFmt w:val="bullet"/>
      <w:lvlText w:val=""/>
      <w:lvlJc w:val="left"/>
      <w:pPr>
        <w:ind w:left="2160" w:hanging="360"/>
      </w:pPr>
      <w:rPr>
        <w:rFonts w:ascii="Wingdings" w:hAnsi="Wingdings" w:hint="default"/>
      </w:rPr>
    </w:lvl>
    <w:lvl w:ilvl="3" w:tplc="C262C90A">
      <w:start w:val="1"/>
      <w:numFmt w:val="bullet"/>
      <w:lvlText w:val=""/>
      <w:lvlJc w:val="left"/>
      <w:pPr>
        <w:ind w:left="2880" w:hanging="360"/>
      </w:pPr>
      <w:rPr>
        <w:rFonts w:ascii="Symbol" w:hAnsi="Symbol" w:hint="default"/>
      </w:rPr>
    </w:lvl>
    <w:lvl w:ilvl="4" w:tplc="1040CAF0">
      <w:start w:val="1"/>
      <w:numFmt w:val="bullet"/>
      <w:lvlText w:val="o"/>
      <w:lvlJc w:val="left"/>
      <w:pPr>
        <w:ind w:left="3600" w:hanging="360"/>
      </w:pPr>
      <w:rPr>
        <w:rFonts w:ascii="Courier New" w:hAnsi="Courier New" w:hint="default"/>
      </w:rPr>
    </w:lvl>
    <w:lvl w:ilvl="5" w:tplc="D9842090">
      <w:start w:val="1"/>
      <w:numFmt w:val="bullet"/>
      <w:lvlText w:val=""/>
      <w:lvlJc w:val="left"/>
      <w:pPr>
        <w:ind w:left="4320" w:hanging="360"/>
      </w:pPr>
      <w:rPr>
        <w:rFonts w:ascii="Wingdings" w:hAnsi="Wingdings" w:hint="default"/>
      </w:rPr>
    </w:lvl>
    <w:lvl w:ilvl="6" w:tplc="BBF076C8">
      <w:start w:val="1"/>
      <w:numFmt w:val="bullet"/>
      <w:lvlText w:val=""/>
      <w:lvlJc w:val="left"/>
      <w:pPr>
        <w:ind w:left="5040" w:hanging="360"/>
      </w:pPr>
      <w:rPr>
        <w:rFonts w:ascii="Symbol" w:hAnsi="Symbol" w:hint="default"/>
      </w:rPr>
    </w:lvl>
    <w:lvl w:ilvl="7" w:tplc="71B6EA1C">
      <w:start w:val="1"/>
      <w:numFmt w:val="bullet"/>
      <w:lvlText w:val="o"/>
      <w:lvlJc w:val="left"/>
      <w:pPr>
        <w:ind w:left="5760" w:hanging="360"/>
      </w:pPr>
      <w:rPr>
        <w:rFonts w:ascii="Courier New" w:hAnsi="Courier New" w:hint="default"/>
      </w:rPr>
    </w:lvl>
    <w:lvl w:ilvl="8" w:tplc="D3807162">
      <w:start w:val="1"/>
      <w:numFmt w:val="bullet"/>
      <w:lvlText w:val=""/>
      <w:lvlJc w:val="left"/>
      <w:pPr>
        <w:ind w:left="6480" w:hanging="360"/>
      </w:pPr>
      <w:rPr>
        <w:rFonts w:ascii="Wingdings" w:hAnsi="Wingdings" w:hint="default"/>
      </w:rPr>
    </w:lvl>
  </w:abstractNum>
  <w:abstractNum w:abstractNumId="4" w15:restartNumberingAfterBreak="0">
    <w:nsid w:val="0AED683E"/>
    <w:multiLevelType w:val="hybridMultilevel"/>
    <w:tmpl w:val="4E440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1814E5"/>
    <w:multiLevelType w:val="hybridMultilevel"/>
    <w:tmpl w:val="81BA5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201C3"/>
    <w:multiLevelType w:val="hybridMultilevel"/>
    <w:tmpl w:val="FFFFFFFF"/>
    <w:lvl w:ilvl="0" w:tplc="683EABA8">
      <w:start w:val="1"/>
      <w:numFmt w:val="bullet"/>
      <w:lvlText w:val=""/>
      <w:lvlJc w:val="left"/>
      <w:pPr>
        <w:ind w:left="720" w:hanging="360"/>
      </w:pPr>
      <w:rPr>
        <w:rFonts w:ascii="Symbol" w:hAnsi="Symbol" w:hint="default"/>
      </w:rPr>
    </w:lvl>
    <w:lvl w:ilvl="1" w:tplc="CDD85338">
      <w:start w:val="1"/>
      <w:numFmt w:val="bullet"/>
      <w:lvlText w:val="o"/>
      <w:lvlJc w:val="left"/>
      <w:pPr>
        <w:ind w:left="1440" w:hanging="360"/>
      </w:pPr>
      <w:rPr>
        <w:rFonts w:ascii="Courier New" w:hAnsi="Courier New" w:hint="default"/>
      </w:rPr>
    </w:lvl>
    <w:lvl w:ilvl="2" w:tplc="FED84C5E">
      <w:start w:val="1"/>
      <w:numFmt w:val="bullet"/>
      <w:lvlText w:val=""/>
      <w:lvlJc w:val="left"/>
      <w:pPr>
        <w:ind w:left="2160" w:hanging="360"/>
      </w:pPr>
      <w:rPr>
        <w:rFonts w:ascii="Wingdings" w:hAnsi="Wingdings" w:hint="default"/>
      </w:rPr>
    </w:lvl>
    <w:lvl w:ilvl="3" w:tplc="14CC59F0">
      <w:start w:val="1"/>
      <w:numFmt w:val="bullet"/>
      <w:lvlText w:val=""/>
      <w:lvlJc w:val="left"/>
      <w:pPr>
        <w:ind w:left="2880" w:hanging="360"/>
      </w:pPr>
      <w:rPr>
        <w:rFonts w:ascii="Symbol" w:hAnsi="Symbol" w:hint="default"/>
      </w:rPr>
    </w:lvl>
    <w:lvl w:ilvl="4" w:tplc="CE28727C">
      <w:start w:val="1"/>
      <w:numFmt w:val="bullet"/>
      <w:lvlText w:val="o"/>
      <w:lvlJc w:val="left"/>
      <w:pPr>
        <w:ind w:left="3600" w:hanging="360"/>
      </w:pPr>
      <w:rPr>
        <w:rFonts w:ascii="Courier New" w:hAnsi="Courier New" w:hint="default"/>
      </w:rPr>
    </w:lvl>
    <w:lvl w:ilvl="5" w:tplc="65F27688">
      <w:start w:val="1"/>
      <w:numFmt w:val="bullet"/>
      <w:lvlText w:val=""/>
      <w:lvlJc w:val="left"/>
      <w:pPr>
        <w:ind w:left="4320" w:hanging="360"/>
      </w:pPr>
      <w:rPr>
        <w:rFonts w:ascii="Wingdings" w:hAnsi="Wingdings" w:hint="default"/>
      </w:rPr>
    </w:lvl>
    <w:lvl w:ilvl="6" w:tplc="A3544F48">
      <w:start w:val="1"/>
      <w:numFmt w:val="bullet"/>
      <w:lvlText w:val=""/>
      <w:lvlJc w:val="left"/>
      <w:pPr>
        <w:ind w:left="5040" w:hanging="360"/>
      </w:pPr>
      <w:rPr>
        <w:rFonts w:ascii="Symbol" w:hAnsi="Symbol" w:hint="default"/>
      </w:rPr>
    </w:lvl>
    <w:lvl w:ilvl="7" w:tplc="FBFEDBF0">
      <w:start w:val="1"/>
      <w:numFmt w:val="bullet"/>
      <w:lvlText w:val="o"/>
      <w:lvlJc w:val="left"/>
      <w:pPr>
        <w:ind w:left="5760" w:hanging="360"/>
      </w:pPr>
      <w:rPr>
        <w:rFonts w:ascii="Courier New" w:hAnsi="Courier New" w:hint="default"/>
      </w:rPr>
    </w:lvl>
    <w:lvl w:ilvl="8" w:tplc="0C0444B4">
      <w:start w:val="1"/>
      <w:numFmt w:val="bullet"/>
      <w:lvlText w:val=""/>
      <w:lvlJc w:val="left"/>
      <w:pPr>
        <w:ind w:left="6480" w:hanging="360"/>
      </w:pPr>
      <w:rPr>
        <w:rFonts w:ascii="Wingdings" w:hAnsi="Wingdings" w:hint="default"/>
      </w:rPr>
    </w:lvl>
  </w:abstractNum>
  <w:abstractNum w:abstractNumId="7" w15:restartNumberingAfterBreak="0">
    <w:nsid w:val="134B4F1C"/>
    <w:multiLevelType w:val="hybridMultilevel"/>
    <w:tmpl w:val="00505616"/>
    <w:lvl w:ilvl="0" w:tplc="E9DC54BC">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31704"/>
    <w:multiLevelType w:val="hybridMultilevel"/>
    <w:tmpl w:val="4574C1E0"/>
    <w:lvl w:ilvl="0" w:tplc="FFFFFFFF">
      <w:start w:val="1"/>
      <w:numFmt w:val="decimal"/>
      <w:lvlText w:val="%1."/>
      <w:lvlJc w:val="left"/>
      <w:pPr>
        <w:ind w:left="720" w:hanging="360"/>
      </w:pPr>
      <w:rPr>
        <w:rFonts w:ascii="Arial" w:hAnsi="Arial" w:cstheme="minorHAnsi" w:hint="default"/>
        <w:b w:val="0"/>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9770EC"/>
    <w:multiLevelType w:val="hybridMultilevel"/>
    <w:tmpl w:val="C95AF674"/>
    <w:lvl w:ilvl="0" w:tplc="C77EC67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D235EE"/>
    <w:multiLevelType w:val="hybridMultilevel"/>
    <w:tmpl w:val="5BD8F5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A2B39"/>
    <w:multiLevelType w:val="hybridMultilevel"/>
    <w:tmpl w:val="C23E4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9A21A2A"/>
    <w:multiLevelType w:val="multilevel"/>
    <w:tmpl w:val="FBEE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3568F"/>
    <w:multiLevelType w:val="hybridMultilevel"/>
    <w:tmpl w:val="FFFFFFFF"/>
    <w:lvl w:ilvl="0" w:tplc="D632F7C2">
      <w:start w:val="1"/>
      <w:numFmt w:val="bullet"/>
      <w:lvlText w:val=""/>
      <w:lvlJc w:val="left"/>
      <w:pPr>
        <w:ind w:left="720" w:hanging="360"/>
      </w:pPr>
      <w:rPr>
        <w:rFonts w:ascii="Symbol" w:hAnsi="Symbol" w:hint="default"/>
      </w:rPr>
    </w:lvl>
    <w:lvl w:ilvl="1" w:tplc="71D228C6">
      <w:start w:val="1"/>
      <w:numFmt w:val="bullet"/>
      <w:lvlText w:val="o"/>
      <w:lvlJc w:val="left"/>
      <w:pPr>
        <w:ind w:left="1440" w:hanging="360"/>
      </w:pPr>
      <w:rPr>
        <w:rFonts w:ascii="Courier New" w:hAnsi="Courier New" w:hint="default"/>
      </w:rPr>
    </w:lvl>
    <w:lvl w:ilvl="2" w:tplc="C0EA53AA">
      <w:start w:val="1"/>
      <w:numFmt w:val="bullet"/>
      <w:lvlText w:val=""/>
      <w:lvlJc w:val="left"/>
      <w:pPr>
        <w:ind w:left="2160" w:hanging="360"/>
      </w:pPr>
      <w:rPr>
        <w:rFonts w:ascii="Wingdings" w:hAnsi="Wingdings" w:hint="default"/>
      </w:rPr>
    </w:lvl>
    <w:lvl w:ilvl="3" w:tplc="0E3C50BA">
      <w:start w:val="1"/>
      <w:numFmt w:val="bullet"/>
      <w:lvlText w:val=""/>
      <w:lvlJc w:val="left"/>
      <w:pPr>
        <w:ind w:left="2880" w:hanging="360"/>
      </w:pPr>
      <w:rPr>
        <w:rFonts w:ascii="Symbol" w:hAnsi="Symbol" w:hint="default"/>
      </w:rPr>
    </w:lvl>
    <w:lvl w:ilvl="4" w:tplc="70CE0A32">
      <w:start w:val="1"/>
      <w:numFmt w:val="bullet"/>
      <w:lvlText w:val="o"/>
      <w:lvlJc w:val="left"/>
      <w:pPr>
        <w:ind w:left="3600" w:hanging="360"/>
      </w:pPr>
      <w:rPr>
        <w:rFonts w:ascii="Courier New" w:hAnsi="Courier New" w:hint="default"/>
      </w:rPr>
    </w:lvl>
    <w:lvl w:ilvl="5" w:tplc="6BF85FE2">
      <w:start w:val="1"/>
      <w:numFmt w:val="bullet"/>
      <w:lvlText w:val=""/>
      <w:lvlJc w:val="left"/>
      <w:pPr>
        <w:ind w:left="4320" w:hanging="360"/>
      </w:pPr>
      <w:rPr>
        <w:rFonts w:ascii="Wingdings" w:hAnsi="Wingdings" w:hint="default"/>
      </w:rPr>
    </w:lvl>
    <w:lvl w:ilvl="6" w:tplc="DF1E25C0">
      <w:start w:val="1"/>
      <w:numFmt w:val="bullet"/>
      <w:lvlText w:val=""/>
      <w:lvlJc w:val="left"/>
      <w:pPr>
        <w:ind w:left="5040" w:hanging="360"/>
      </w:pPr>
      <w:rPr>
        <w:rFonts w:ascii="Symbol" w:hAnsi="Symbol" w:hint="default"/>
      </w:rPr>
    </w:lvl>
    <w:lvl w:ilvl="7" w:tplc="B8308386">
      <w:start w:val="1"/>
      <w:numFmt w:val="bullet"/>
      <w:lvlText w:val="o"/>
      <w:lvlJc w:val="left"/>
      <w:pPr>
        <w:ind w:left="5760" w:hanging="360"/>
      </w:pPr>
      <w:rPr>
        <w:rFonts w:ascii="Courier New" w:hAnsi="Courier New" w:hint="default"/>
      </w:rPr>
    </w:lvl>
    <w:lvl w:ilvl="8" w:tplc="0CCA1D3A">
      <w:start w:val="1"/>
      <w:numFmt w:val="bullet"/>
      <w:lvlText w:val=""/>
      <w:lvlJc w:val="left"/>
      <w:pPr>
        <w:ind w:left="6480" w:hanging="360"/>
      </w:pPr>
      <w:rPr>
        <w:rFonts w:ascii="Wingdings" w:hAnsi="Wingdings" w:hint="default"/>
      </w:rPr>
    </w:lvl>
  </w:abstractNum>
  <w:abstractNum w:abstractNumId="14" w15:restartNumberingAfterBreak="0">
    <w:nsid w:val="1B9432E3"/>
    <w:multiLevelType w:val="multilevel"/>
    <w:tmpl w:val="E9BC5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B066E"/>
    <w:multiLevelType w:val="hybridMultilevel"/>
    <w:tmpl w:val="147667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DE17F9"/>
    <w:multiLevelType w:val="hybridMultilevel"/>
    <w:tmpl w:val="A6243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6930BD"/>
    <w:multiLevelType w:val="multilevel"/>
    <w:tmpl w:val="0228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44E27"/>
    <w:multiLevelType w:val="hybridMultilevel"/>
    <w:tmpl w:val="FFFFFFFF"/>
    <w:lvl w:ilvl="0" w:tplc="CC0C8EBC">
      <w:start w:val="1"/>
      <w:numFmt w:val="bullet"/>
      <w:lvlText w:val=""/>
      <w:lvlJc w:val="left"/>
      <w:pPr>
        <w:ind w:left="720" w:hanging="360"/>
      </w:pPr>
      <w:rPr>
        <w:rFonts w:ascii="Symbol" w:hAnsi="Symbol" w:hint="default"/>
      </w:rPr>
    </w:lvl>
    <w:lvl w:ilvl="1" w:tplc="2640E284">
      <w:start w:val="1"/>
      <w:numFmt w:val="bullet"/>
      <w:lvlText w:val="o"/>
      <w:lvlJc w:val="left"/>
      <w:pPr>
        <w:ind w:left="1440" w:hanging="360"/>
      </w:pPr>
      <w:rPr>
        <w:rFonts w:ascii="Courier New" w:hAnsi="Courier New" w:hint="default"/>
      </w:rPr>
    </w:lvl>
    <w:lvl w:ilvl="2" w:tplc="5CBE82CA">
      <w:start w:val="1"/>
      <w:numFmt w:val="bullet"/>
      <w:lvlText w:val=""/>
      <w:lvlJc w:val="left"/>
      <w:pPr>
        <w:ind w:left="2160" w:hanging="360"/>
      </w:pPr>
      <w:rPr>
        <w:rFonts w:ascii="Wingdings" w:hAnsi="Wingdings" w:hint="default"/>
      </w:rPr>
    </w:lvl>
    <w:lvl w:ilvl="3" w:tplc="F52C648C">
      <w:start w:val="1"/>
      <w:numFmt w:val="bullet"/>
      <w:lvlText w:val=""/>
      <w:lvlJc w:val="left"/>
      <w:pPr>
        <w:ind w:left="2880" w:hanging="360"/>
      </w:pPr>
      <w:rPr>
        <w:rFonts w:ascii="Symbol" w:hAnsi="Symbol" w:hint="default"/>
      </w:rPr>
    </w:lvl>
    <w:lvl w:ilvl="4" w:tplc="B00EA8D8">
      <w:start w:val="1"/>
      <w:numFmt w:val="bullet"/>
      <w:lvlText w:val="o"/>
      <w:lvlJc w:val="left"/>
      <w:pPr>
        <w:ind w:left="3600" w:hanging="360"/>
      </w:pPr>
      <w:rPr>
        <w:rFonts w:ascii="Courier New" w:hAnsi="Courier New" w:hint="default"/>
      </w:rPr>
    </w:lvl>
    <w:lvl w:ilvl="5" w:tplc="E14A834A">
      <w:start w:val="1"/>
      <w:numFmt w:val="bullet"/>
      <w:lvlText w:val=""/>
      <w:lvlJc w:val="left"/>
      <w:pPr>
        <w:ind w:left="4320" w:hanging="360"/>
      </w:pPr>
      <w:rPr>
        <w:rFonts w:ascii="Wingdings" w:hAnsi="Wingdings" w:hint="default"/>
      </w:rPr>
    </w:lvl>
    <w:lvl w:ilvl="6" w:tplc="32F09EDC">
      <w:start w:val="1"/>
      <w:numFmt w:val="bullet"/>
      <w:lvlText w:val=""/>
      <w:lvlJc w:val="left"/>
      <w:pPr>
        <w:ind w:left="5040" w:hanging="360"/>
      </w:pPr>
      <w:rPr>
        <w:rFonts w:ascii="Symbol" w:hAnsi="Symbol" w:hint="default"/>
      </w:rPr>
    </w:lvl>
    <w:lvl w:ilvl="7" w:tplc="0E52A0E8">
      <w:start w:val="1"/>
      <w:numFmt w:val="bullet"/>
      <w:lvlText w:val="o"/>
      <w:lvlJc w:val="left"/>
      <w:pPr>
        <w:ind w:left="5760" w:hanging="360"/>
      </w:pPr>
      <w:rPr>
        <w:rFonts w:ascii="Courier New" w:hAnsi="Courier New" w:hint="default"/>
      </w:rPr>
    </w:lvl>
    <w:lvl w:ilvl="8" w:tplc="5E3824D2">
      <w:start w:val="1"/>
      <w:numFmt w:val="bullet"/>
      <w:lvlText w:val=""/>
      <w:lvlJc w:val="left"/>
      <w:pPr>
        <w:ind w:left="6480" w:hanging="360"/>
      </w:pPr>
      <w:rPr>
        <w:rFonts w:ascii="Wingdings" w:hAnsi="Wingdings" w:hint="default"/>
      </w:rPr>
    </w:lvl>
  </w:abstractNum>
  <w:abstractNum w:abstractNumId="19" w15:restartNumberingAfterBreak="0">
    <w:nsid w:val="20ED52DE"/>
    <w:multiLevelType w:val="hybridMultilevel"/>
    <w:tmpl w:val="AA421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41454D"/>
    <w:multiLevelType w:val="hybridMultilevel"/>
    <w:tmpl w:val="069A94BE"/>
    <w:lvl w:ilvl="0" w:tplc="281C42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387AF0"/>
    <w:multiLevelType w:val="hybridMultilevel"/>
    <w:tmpl w:val="5E880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F5BDE"/>
    <w:multiLevelType w:val="hybridMultilevel"/>
    <w:tmpl w:val="599638DA"/>
    <w:lvl w:ilvl="0" w:tplc="F3B279A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06424A0"/>
    <w:multiLevelType w:val="hybridMultilevel"/>
    <w:tmpl w:val="06A657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441B5E"/>
    <w:multiLevelType w:val="hybridMultilevel"/>
    <w:tmpl w:val="FFFFFFFF"/>
    <w:lvl w:ilvl="0" w:tplc="59E87500">
      <w:start w:val="1"/>
      <w:numFmt w:val="bullet"/>
      <w:lvlText w:val=""/>
      <w:lvlJc w:val="left"/>
      <w:pPr>
        <w:ind w:left="720" w:hanging="360"/>
      </w:pPr>
      <w:rPr>
        <w:rFonts w:ascii="Symbol" w:hAnsi="Symbol" w:hint="default"/>
      </w:rPr>
    </w:lvl>
    <w:lvl w:ilvl="1" w:tplc="1058447A">
      <w:start w:val="1"/>
      <w:numFmt w:val="bullet"/>
      <w:lvlText w:val="o"/>
      <w:lvlJc w:val="left"/>
      <w:pPr>
        <w:ind w:left="1440" w:hanging="360"/>
      </w:pPr>
      <w:rPr>
        <w:rFonts w:ascii="Courier New" w:hAnsi="Courier New" w:hint="default"/>
      </w:rPr>
    </w:lvl>
    <w:lvl w:ilvl="2" w:tplc="8848B0D4">
      <w:start w:val="1"/>
      <w:numFmt w:val="bullet"/>
      <w:lvlText w:val=""/>
      <w:lvlJc w:val="left"/>
      <w:pPr>
        <w:ind w:left="2160" w:hanging="360"/>
      </w:pPr>
      <w:rPr>
        <w:rFonts w:ascii="Wingdings" w:hAnsi="Wingdings" w:hint="default"/>
      </w:rPr>
    </w:lvl>
    <w:lvl w:ilvl="3" w:tplc="31726604">
      <w:start w:val="1"/>
      <w:numFmt w:val="bullet"/>
      <w:lvlText w:val=""/>
      <w:lvlJc w:val="left"/>
      <w:pPr>
        <w:ind w:left="2880" w:hanging="360"/>
      </w:pPr>
      <w:rPr>
        <w:rFonts w:ascii="Symbol" w:hAnsi="Symbol" w:hint="default"/>
      </w:rPr>
    </w:lvl>
    <w:lvl w:ilvl="4" w:tplc="1D942A2A">
      <w:start w:val="1"/>
      <w:numFmt w:val="bullet"/>
      <w:lvlText w:val="o"/>
      <w:lvlJc w:val="left"/>
      <w:pPr>
        <w:ind w:left="3600" w:hanging="360"/>
      </w:pPr>
      <w:rPr>
        <w:rFonts w:ascii="Courier New" w:hAnsi="Courier New" w:hint="default"/>
      </w:rPr>
    </w:lvl>
    <w:lvl w:ilvl="5" w:tplc="02D4CA46">
      <w:start w:val="1"/>
      <w:numFmt w:val="bullet"/>
      <w:lvlText w:val=""/>
      <w:lvlJc w:val="left"/>
      <w:pPr>
        <w:ind w:left="4320" w:hanging="360"/>
      </w:pPr>
      <w:rPr>
        <w:rFonts w:ascii="Wingdings" w:hAnsi="Wingdings" w:hint="default"/>
      </w:rPr>
    </w:lvl>
    <w:lvl w:ilvl="6" w:tplc="643CC8E0">
      <w:start w:val="1"/>
      <w:numFmt w:val="bullet"/>
      <w:lvlText w:val=""/>
      <w:lvlJc w:val="left"/>
      <w:pPr>
        <w:ind w:left="5040" w:hanging="360"/>
      </w:pPr>
      <w:rPr>
        <w:rFonts w:ascii="Symbol" w:hAnsi="Symbol" w:hint="default"/>
      </w:rPr>
    </w:lvl>
    <w:lvl w:ilvl="7" w:tplc="C73E24A6">
      <w:start w:val="1"/>
      <w:numFmt w:val="bullet"/>
      <w:lvlText w:val="o"/>
      <w:lvlJc w:val="left"/>
      <w:pPr>
        <w:ind w:left="5760" w:hanging="360"/>
      </w:pPr>
      <w:rPr>
        <w:rFonts w:ascii="Courier New" w:hAnsi="Courier New" w:hint="default"/>
      </w:rPr>
    </w:lvl>
    <w:lvl w:ilvl="8" w:tplc="52FA926C">
      <w:start w:val="1"/>
      <w:numFmt w:val="bullet"/>
      <w:lvlText w:val=""/>
      <w:lvlJc w:val="left"/>
      <w:pPr>
        <w:ind w:left="6480" w:hanging="360"/>
      </w:pPr>
      <w:rPr>
        <w:rFonts w:ascii="Wingdings" w:hAnsi="Wingdings" w:hint="default"/>
      </w:rPr>
    </w:lvl>
  </w:abstractNum>
  <w:abstractNum w:abstractNumId="25" w15:restartNumberingAfterBreak="0">
    <w:nsid w:val="32C44226"/>
    <w:multiLevelType w:val="multilevel"/>
    <w:tmpl w:val="D3142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54010B1"/>
    <w:multiLevelType w:val="multilevel"/>
    <w:tmpl w:val="0A8E2F3A"/>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6B50720"/>
    <w:multiLevelType w:val="hybridMultilevel"/>
    <w:tmpl w:val="FFFFFFFF"/>
    <w:lvl w:ilvl="0" w:tplc="0060E456">
      <w:start w:val="1"/>
      <w:numFmt w:val="bullet"/>
      <w:lvlText w:val=""/>
      <w:lvlJc w:val="left"/>
      <w:pPr>
        <w:ind w:left="720" w:hanging="360"/>
      </w:pPr>
      <w:rPr>
        <w:rFonts w:ascii="Symbol" w:hAnsi="Symbol" w:hint="default"/>
      </w:rPr>
    </w:lvl>
    <w:lvl w:ilvl="1" w:tplc="7AE06E1A">
      <w:start w:val="1"/>
      <w:numFmt w:val="bullet"/>
      <w:lvlText w:val="o"/>
      <w:lvlJc w:val="left"/>
      <w:pPr>
        <w:ind w:left="1440" w:hanging="360"/>
      </w:pPr>
      <w:rPr>
        <w:rFonts w:ascii="Courier New" w:hAnsi="Courier New" w:hint="default"/>
      </w:rPr>
    </w:lvl>
    <w:lvl w:ilvl="2" w:tplc="7BC21D58">
      <w:start w:val="1"/>
      <w:numFmt w:val="bullet"/>
      <w:lvlText w:val=""/>
      <w:lvlJc w:val="left"/>
      <w:pPr>
        <w:ind w:left="2160" w:hanging="360"/>
      </w:pPr>
      <w:rPr>
        <w:rFonts w:ascii="Wingdings" w:hAnsi="Wingdings" w:hint="default"/>
      </w:rPr>
    </w:lvl>
    <w:lvl w:ilvl="3" w:tplc="27380998">
      <w:start w:val="1"/>
      <w:numFmt w:val="bullet"/>
      <w:lvlText w:val=""/>
      <w:lvlJc w:val="left"/>
      <w:pPr>
        <w:ind w:left="2880" w:hanging="360"/>
      </w:pPr>
      <w:rPr>
        <w:rFonts w:ascii="Symbol" w:hAnsi="Symbol" w:hint="default"/>
      </w:rPr>
    </w:lvl>
    <w:lvl w:ilvl="4" w:tplc="8D3A5F20">
      <w:start w:val="1"/>
      <w:numFmt w:val="bullet"/>
      <w:lvlText w:val="o"/>
      <w:lvlJc w:val="left"/>
      <w:pPr>
        <w:ind w:left="3600" w:hanging="360"/>
      </w:pPr>
      <w:rPr>
        <w:rFonts w:ascii="Courier New" w:hAnsi="Courier New" w:hint="default"/>
      </w:rPr>
    </w:lvl>
    <w:lvl w:ilvl="5" w:tplc="BC9E6BBE">
      <w:start w:val="1"/>
      <w:numFmt w:val="bullet"/>
      <w:lvlText w:val=""/>
      <w:lvlJc w:val="left"/>
      <w:pPr>
        <w:ind w:left="4320" w:hanging="360"/>
      </w:pPr>
      <w:rPr>
        <w:rFonts w:ascii="Wingdings" w:hAnsi="Wingdings" w:hint="default"/>
      </w:rPr>
    </w:lvl>
    <w:lvl w:ilvl="6" w:tplc="BD145D76">
      <w:start w:val="1"/>
      <w:numFmt w:val="bullet"/>
      <w:lvlText w:val=""/>
      <w:lvlJc w:val="left"/>
      <w:pPr>
        <w:ind w:left="5040" w:hanging="360"/>
      </w:pPr>
      <w:rPr>
        <w:rFonts w:ascii="Symbol" w:hAnsi="Symbol" w:hint="default"/>
      </w:rPr>
    </w:lvl>
    <w:lvl w:ilvl="7" w:tplc="CC6AA2C6">
      <w:start w:val="1"/>
      <w:numFmt w:val="bullet"/>
      <w:lvlText w:val="o"/>
      <w:lvlJc w:val="left"/>
      <w:pPr>
        <w:ind w:left="5760" w:hanging="360"/>
      </w:pPr>
      <w:rPr>
        <w:rFonts w:ascii="Courier New" w:hAnsi="Courier New" w:hint="default"/>
      </w:rPr>
    </w:lvl>
    <w:lvl w:ilvl="8" w:tplc="3364D97A">
      <w:start w:val="1"/>
      <w:numFmt w:val="bullet"/>
      <w:lvlText w:val=""/>
      <w:lvlJc w:val="left"/>
      <w:pPr>
        <w:ind w:left="6480" w:hanging="360"/>
      </w:pPr>
      <w:rPr>
        <w:rFonts w:ascii="Wingdings" w:hAnsi="Wingdings" w:hint="default"/>
      </w:rPr>
    </w:lvl>
  </w:abstractNum>
  <w:abstractNum w:abstractNumId="28" w15:restartNumberingAfterBreak="0">
    <w:nsid w:val="38E740A1"/>
    <w:multiLevelType w:val="hybridMultilevel"/>
    <w:tmpl w:val="FFFFFFFF"/>
    <w:lvl w:ilvl="0" w:tplc="4B54398C">
      <w:start w:val="1"/>
      <w:numFmt w:val="bullet"/>
      <w:lvlText w:val=""/>
      <w:lvlJc w:val="left"/>
      <w:pPr>
        <w:ind w:left="720" w:hanging="360"/>
      </w:pPr>
      <w:rPr>
        <w:rFonts w:ascii="Symbol" w:hAnsi="Symbol" w:hint="default"/>
      </w:rPr>
    </w:lvl>
    <w:lvl w:ilvl="1" w:tplc="24F4066C">
      <w:start w:val="1"/>
      <w:numFmt w:val="bullet"/>
      <w:lvlText w:val="o"/>
      <w:lvlJc w:val="left"/>
      <w:pPr>
        <w:ind w:left="1440" w:hanging="360"/>
      </w:pPr>
      <w:rPr>
        <w:rFonts w:ascii="Courier New" w:hAnsi="Courier New" w:hint="default"/>
      </w:rPr>
    </w:lvl>
    <w:lvl w:ilvl="2" w:tplc="978E908A">
      <w:start w:val="1"/>
      <w:numFmt w:val="bullet"/>
      <w:lvlText w:val=""/>
      <w:lvlJc w:val="left"/>
      <w:pPr>
        <w:ind w:left="2160" w:hanging="360"/>
      </w:pPr>
      <w:rPr>
        <w:rFonts w:ascii="Wingdings" w:hAnsi="Wingdings" w:hint="default"/>
      </w:rPr>
    </w:lvl>
    <w:lvl w:ilvl="3" w:tplc="8FD2149C">
      <w:start w:val="1"/>
      <w:numFmt w:val="bullet"/>
      <w:lvlText w:val=""/>
      <w:lvlJc w:val="left"/>
      <w:pPr>
        <w:ind w:left="2880" w:hanging="360"/>
      </w:pPr>
      <w:rPr>
        <w:rFonts w:ascii="Symbol" w:hAnsi="Symbol" w:hint="default"/>
      </w:rPr>
    </w:lvl>
    <w:lvl w:ilvl="4" w:tplc="FB96676E">
      <w:start w:val="1"/>
      <w:numFmt w:val="bullet"/>
      <w:lvlText w:val="o"/>
      <w:lvlJc w:val="left"/>
      <w:pPr>
        <w:ind w:left="3600" w:hanging="360"/>
      </w:pPr>
      <w:rPr>
        <w:rFonts w:ascii="Courier New" w:hAnsi="Courier New" w:hint="default"/>
      </w:rPr>
    </w:lvl>
    <w:lvl w:ilvl="5" w:tplc="86AE42A4">
      <w:start w:val="1"/>
      <w:numFmt w:val="bullet"/>
      <w:lvlText w:val=""/>
      <w:lvlJc w:val="left"/>
      <w:pPr>
        <w:ind w:left="4320" w:hanging="360"/>
      </w:pPr>
      <w:rPr>
        <w:rFonts w:ascii="Wingdings" w:hAnsi="Wingdings" w:hint="default"/>
      </w:rPr>
    </w:lvl>
    <w:lvl w:ilvl="6" w:tplc="F86CF0C0">
      <w:start w:val="1"/>
      <w:numFmt w:val="bullet"/>
      <w:lvlText w:val=""/>
      <w:lvlJc w:val="left"/>
      <w:pPr>
        <w:ind w:left="5040" w:hanging="360"/>
      </w:pPr>
      <w:rPr>
        <w:rFonts w:ascii="Symbol" w:hAnsi="Symbol" w:hint="default"/>
      </w:rPr>
    </w:lvl>
    <w:lvl w:ilvl="7" w:tplc="7E1A0894">
      <w:start w:val="1"/>
      <w:numFmt w:val="bullet"/>
      <w:lvlText w:val="o"/>
      <w:lvlJc w:val="left"/>
      <w:pPr>
        <w:ind w:left="5760" w:hanging="360"/>
      </w:pPr>
      <w:rPr>
        <w:rFonts w:ascii="Courier New" w:hAnsi="Courier New" w:hint="default"/>
      </w:rPr>
    </w:lvl>
    <w:lvl w:ilvl="8" w:tplc="6EE01D94">
      <w:start w:val="1"/>
      <w:numFmt w:val="bullet"/>
      <w:lvlText w:val=""/>
      <w:lvlJc w:val="left"/>
      <w:pPr>
        <w:ind w:left="6480" w:hanging="360"/>
      </w:pPr>
      <w:rPr>
        <w:rFonts w:ascii="Wingdings" w:hAnsi="Wingdings" w:hint="default"/>
      </w:rPr>
    </w:lvl>
  </w:abstractNum>
  <w:abstractNum w:abstractNumId="29" w15:restartNumberingAfterBreak="0">
    <w:nsid w:val="3A9F32DA"/>
    <w:multiLevelType w:val="hybridMultilevel"/>
    <w:tmpl w:val="FFFFFFFF"/>
    <w:lvl w:ilvl="0" w:tplc="38F431C2">
      <w:start w:val="1"/>
      <w:numFmt w:val="bullet"/>
      <w:lvlText w:val=""/>
      <w:lvlJc w:val="left"/>
      <w:pPr>
        <w:ind w:left="720" w:hanging="360"/>
      </w:pPr>
      <w:rPr>
        <w:rFonts w:ascii="Symbol" w:hAnsi="Symbol" w:hint="default"/>
      </w:rPr>
    </w:lvl>
    <w:lvl w:ilvl="1" w:tplc="3B2C8F22">
      <w:start w:val="1"/>
      <w:numFmt w:val="bullet"/>
      <w:lvlText w:val="o"/>
      <w:lvlJc w:val="left"/>
      <w:pPr>
        <w:ind w:left="1440" w:hanging="360"/>
      </w:pPr>
      <w:rPr>
        <w:rFonts w:ascii="Courier New" w:hAnsi="Courier New" w:hint="default"/>
      </w:rPr>
    </w:lvl>
    <w:lvl w:ilvl="2" w:tplc="7D1C1D74">
      <w:start w:val="1"/>
      <w:numFmt w:val="bullet"/>
      <w:lvlText w:val=""/>
      <w:lvlJc w:val="left"/>
      <w:pPr>
        <w:ind w:left="2160" w:hanging="360"/>
      </w:pPr>
      <w:rPr>
        <w:rFonts w:ascii="Wingdings" w:hAnsi="Wingdings" w:hint="default"/>
      </w:rPr>
    </w:lvl>
    <w:lvl w:ilvl="3" w:tplc="43AEC92E">
      <w:start w:val="1"/>
      <w:numFmt w:val="bullet"/>
      <w:lvlText w:val=""/>
      <w:lvlJc w:val="left"/>
      <w:pPr>
        <w:ind w:left="2880" w:hanging="360"/>
      </w:pPr>
      <w:rPr>
        <w:rFonts w:ascii="Symbol" w:hAnsi="Symbol" w:hint="default"/>
      </w:rPr>
    </w:lvl>
    <w:lvl w:ilvl="4" w:tplc="935A633A">
      <w:start w:val="1"/>
      <w:numFmt w:val="bullet"/>
      <w:lvlText w:val="o"/>
      <w:lvlJc w:val="left"/>
      <w:pPr>
        <w:ind w:left="3600" w:hanging="360"/>
      </w:pPr>
      <w:rPr>
        <w:rFonts w:ascii="Courier New" w:hAnsi="Courier New" w:hint="default"/>
      </w:rPr>
    </w:lvl>
    <w:lvl w:ilvl="5" w:tplc="284C56AC">
      <w:start w:val="1"/>
      <w:numFmt w:val="bullet"/>
      <w:lvlText w:val=""/>
      <w:lvlJc w:val="left"/>
      <w:pPr>
        <w:ind w:left="4320" w:hanging="360"/>
      </w:pPr>
      <w:rPr>
        <w:rFonts w:ascii="Wingdings" w:hAnsi="Wingdings" w:hint="default"/>
      </w:rPr>
    </w:lvl>
    <w:lvl w:ilvl="6" w:tplc="6E96F6D0">
      <w:start w:val="1"/>
      <w:numFmt w:val="bullet"/>
      <w:lvlText w:val=""/>
      <w:lvlJc w:val="left"/>
      <w:pPr>
        <w:ind w:left="5040" w:hanging="360"/>
      </w:pPr>
      <w:rPr>
        <w:rFonts w:ascii="Symbol" w:hAnsi="Symbol" w:hint="default"/>
      </w:rPr>
    </w:lvl>
    <w:lvl w:ilvl="7" w:tplc="4C500CD8">
      <w:start w:val="1"/>
      <w:numFmt w:val="bullet"/>
      <w:lvlText w:val="o"/>
      <w:lvlJc w:val="left"/>
      <w:pPr>
        <w:ind w:left="5760" w:hanging="360"/>
      </w:pPr>
      <w:rPr>
        <w:rFonts w:ascii="Courier New" w:hAnsi="Courier New" w:hint="default"/>
      </w:rPr>
    </w:lvl>
    <w:lvl w:ilvl="8" w:tplc="FAB0C06C">
      <w:start w:val="1"/>
      <w:numFmt w:val="bullet"/>
      <w:lvlText w:val=""/>
      <w:lvlJc w:val="left"/>
      <w:pPr>
        <w:ind w:left="6480" w:hanging="360"/>
      </w:pPr>
      <w:rPr>
        <w:rFonts w:ascii="Wingdings" w:hAnsi="Wingdings" w:hint="default"/>
      </w:rPr>
    </w:lvl>
  </w:abstractNum>
  <w:abstractNum w:abstractNumId="30" w15:restartNumberingAfterBreak="0">
    <w:nsid w:val="40774C24"/>
    <w:multiLevelType w:val="multilevel"/>
    <w:tmpl w:val="742AF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1972D8"/>
    <w:multiLevelType w:val="hybridMultilevel"/>
    <w:tmpl w:val="FFFFFFFF"/>
    <w:lvl w:ilvl="0" w:tplc="18863CAC">
      <w:start w:val="1"/>
      <w:numFmt w:val="bullet"/>
      <w:lvlText w:val=""/>
      <w:lvlJc w:val="left"/>
      <w:pPr>
        <w:ind w:left="720" w:hanging="360"/>
      </w:pPr>
      <w:rPr>
        <w:rFonts w:ascii="Symbol" w:hAnsi="Symbol" w:hint="default"/>
      </w:rPr>
    </w:lvl>
    <w:lvl w:ilvl="1" w:tplc="F31C24B8">
      <w:start w:val="1"/>
      <w:numFmt w:val="bullet"/>
      <w:lvlText w:val="o"/>
      <w:lvlJc w:val="left"/>
      <w:pPr>
        <w:ind w:left="1440" w:hanging="360"/>
      </w:pPr>
      <w:rPr>
        <w:rFonts w:ascii="Courier New" w:hAnsi="Courier New" w:hint="default"/>
      </w:rPr>
    </w:lvl>
    <w:lvl w:ilvl="2" w:tplc="0390E99A">
      <w:start w:val="1"/>
      <w:numFmt w:val="bullet"/>
      <w:lvlText w:val=""/>
      <w:lvlJc w:val="left"/>
      <w:pPr>
        <w:ind w:left="2160" w:hanging="360"/>
      </w:pPr>
      <w:rPr>
        <w:rFonts w:ascii="Wingdings" w:hAnsi="Wingdings" w:hint="default"/>
      </w:rPr>
    </w:lvl>
    <w:lvl w:ilvl="3" w:tplc="688C1888">
      <w:start w:val="1"/>
      <w:numFmt w:val="bullet"/>
      <w:lvlText w:val=""/>
      <w:lvlJc w:val="left"/>
      <w:pPr>
        <w:ind w:left="2880" w:hanging="360"/>
      </w:pPr>
      <w:rPr>
        <w:rFonts w:ascii="Symbol" w:hAnsi="Symbol" w:hint="default"/>
      </w:rPr>
    </w:lvl>
    <w:lvl w:ilvl="4" w:tplc="8DE643A6">
      <w:start w:val="1"/>
      <w:numFmt w:val="bullet"/>
      <w:lvlText w:val="o"/>
      <w:lvlJc w:val="left"/>
      <w:pPr>
        <w:ind w:left="3600" w:hanging="360"/>
      </w:pPr>
      <w:rPr>
        <w:rFonts w:ascii="Courier New" w:hAnsi="Courier New" w:hint="default"/>
      </w:rPr>
    </w:lvl>
    <w:lvl w:ilvl="5" w:tplc="C194030E">
      <w:start w:val="1"/>
      <w:numFmt w:val="bullet"/>
      <w:lvlText w:val=""/>
      <w:lvlJc w:val="left"/>
      <w:pPr>
        <w:ind w:left="4320" w:hanging="360"/>
      </w:pPr>
      <w:rPr>
        <w:rFonts w:ascii="Wingdings" w:hAnsi="Wingdings" w:hint="default"/>
      </w:rPr>
    </w:lvl>
    <w:lvl w:ilvl="6" w:tplc="ADF64D4E">
      <w:start w:val="1"/>
      <w:numFmt w:val="bullet"/>
      <w:lvlText w:val=""/>
      <w:lvlJc w:val="left"/>
      <w:pPr>
        <w:ind w:left="5040" w:hanging="360"/>
      </w:pPr>
      <w:rPr>
        <w:rFonts w:ascii="Symbol" w:hAnsi="Symbol" w:hint="default"/>
      </w:rPr>
    </w:lvl>
    <w:lvl w:ilvl="7" w:tplc="0CBC057E">
      <w:start w:val="1"/>
      <w:numFmt w:val="bullet"/>
      <w:lvlText w:val="o"/>
      <w:lvlJc w:val="left"/>
      <w:pPr>
        <w:ind w:left="5760" w:hanging="360"/>
      </w:pPr>
      <w:rPr>
        <w:rFonts w:ascii="Courier New" w:hAnsi="Courier New" w:hint="default"/>
      </w:rPr>
    </w:lvl>
    <w:lvl w:ilvl="8" w:tplc="F7A65F2E">
      <w:start w:val="1"/>
      <w:numFmt w:val="bullet"/>
      <w:lvlText w:val=""/>
      <w:lvlJc w:val="left"/>
      <w:pPr>
        <w:ind w:left="6480" w:hanging="360"/>
      </w:pPr>
      <w:rPr>
        <w:rFonts w:ascii="Wingdings" w:hAnsi="Wingdings" w:hint="default"/>
      </w:rPr>
    </w:lvl>
  </w:abstractNum>
  <w:abstractNum w:abstractNumId="32" w15:restartNumberingAfterBreak="0">
    <w:nsid w:val="43931206"/>
    <w:multiLevelType w:val="hybridMultilevel"/>
    <w:tmpl w:val="5B624E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58A0E7C"/>
    <w:multiLevelType w:val="multilevel"/>
    <w:tmpl w:val="DA70A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AA538F"/>
    <w:multiLevelType w:val="multilevel"/>
    <w:tmpl w:val="92987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81725"/>
    <w:multiLevelType w:val="hybridMultilevel"/>
    <w:tmpl w:val="1A42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7554BD"/>
    <w:multiLevelType w:val="hybridMultilevel"/>
    <w:tmpl w:val="4532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D8249D"/>
    <w:multiLevelType w:val="hybridMultilevel"/>
    <w:tmpl w:val="48009720"/>
    <w:lvl w:ilvl="0" w:tplc="99168846">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7D71CD"/>
    <w:multiLevelType w:val="hybridMultilevel"/>
    <w:tmpl w:val="A2CE6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C755B2E"/>
    <w:multiLevelType w:val="hybridMultilevel"/>
    <w:tmpl w:val="4C8E6476"/>
    <w:lvl w:ilvl="0" w:tplc="7864161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DE2993"/>
    <w:multiLevelType w:val="hybridMultilevel"/>
    <w:tmpl w:val="FFFFFFFF"/>
    <w:lvl w:ilvl="0" w:tplc="5856676A">
      <w:start w:val="1"/>
      <w:numFmt w:val="bullet"/>
      <w:lvlText w:val=""/>
      <w:lvlJc w:val="left"/>
      <w:pPr>
        <w:ind w:left="720" w:hanging="360"/>
      </w:pPr>
      <w:rPr>
        <w:rFonts w:ascii="Symbol" w:hAnsi="Symbol" w:hint="default"/>
      </w:rPr>
    </w:lvl>
    <w:lvl w:ilvl="1" w:tplc="CA4ECD4E">
      <w:start w:val="1"/>
      <w:numFmt w:val="bullet"/>
      <w:lvlText w:val="o"/>
      <w:lvlJc w:val="left"/>
      <w:pPr>
        <w:ind w:left="1440" w:hanging="360"/>
      </w:pPr>
      <w:rPr>
        <w:rFonts w:ascii="Courier New" w:hAnsi="Courier New" w:hint="default"/>
      </w:rPr>
    </w:lvl>
    <w:lvl w:ilvl="2" w:tplc="E32CB042">
      <w:start w:val="1"/>
      <w:numFmt w:val="bullet"/>
      <w:lvlText w:val=""/>
      <w:lvlJc w:val="left"/>
      <w:pPr>
        <w:ind w:left="2160" w:hanging="360"/>
      </w:pPr>
      <w:rPr>
        <w:rFonts w:ascii="Wingdings" w:hAnsi="Wingdings" w:hint="default"/>
      </w:rPr>
    </w:lvl>
    <w:lvl w:ilvl="3" w:tplc="4AD2B322">
      <w:start w:val="1"/>
      <w:numFmt w:val="bullet"/>
      <w:lvlText w:val=""/>
      <w:lvlJc w:val="left"/>
      <w:pPr>
        <w:ind w:left="2880" w:hanging="360"/>
      </w:pPr>
      <w:rPr>
        <w:rFonts w:ascii="Symbol" w:hAnsi="Symbol" w:hint="default"/>
      </w:rPr>
    </w:lvl>
    <w:lvl w:ilvl="4" w:tplc="C924F72E">
      <w:start w:val="1"/>
      <w:numFmt w:val="bullet"/>
      <w:lvlText w:val="o"/>
      <w:lvlJc w:val="left"/>
      <w:pPr>
        <w:ind w:left="3600" w:hanging="360"/>
      </w:pPr>
      <w:rPr>
        <w:rFonts w:ascii="Courier New" w:hAnsi="Courier New" w:hint="default"/>
      </w:rPr>
    </w:lvl>
    <w:lvl w:ilvl="5" w:tplc="650AB9BC">
      <w:start w:val="1"/>
      <w:numFmt w:val="bullet"/>
      <w:lvlText w:val=""/>
      <w:lvlJc w:val="left"/>
      <w:pPr>
        <w:ind w:left="4320" w:hanging="360"/>
      </w:pPr>
      <w:rPr>
        <w:rFonts w:ascii="Wingdings" w:hAnsi="Wingdings" w:hint="default"/>
      </w:rPr>
    </w:lvl>
    <w:lvl w:ilvl="6" w:tplc="1022653A">
      <w:start w:val="1"/>
      <w:numFmt w:val="bullet"/>
      <w:lvlText w:val=""/>
      <w:lvlJc w:val="left"/>
      <w:pPr>
        <w:ind w:left="5040" w:hanging="360"/>
      </w:pPr>
      <w:rPr>
        <w:rFonts w:ascii="Symbol" w:hAnsi="Symbol" w:hint="default"/>
      </w:rPr>
    </w:lvl>
    <w:lvl w:ilvl="7" w:tplc="EDA21470">
      <w:start w:val="1"/>
      <w:numFmt w:val="bullet"/>
      <w:lvlText w:val="o"/>
      <w:lvlJc w:val="left"/>
      <w:pPr>
        <w:ind w:left="5760" w:hanging="360"/>
      </w:pPr>
      <w:rPr>
        <w:rFonts w:ascii="Courier New" w:hAnsi="Courier New" w:hint="default"/>
      </w:rPr>
    </w:lvl>
    <w:lvl w:ilvl="8" w:tplc="6798889E">
      <w:start w:val="1"/>
      <w:numFmt w:val="bullet"/>
      <w:lvlText w:val=""/>
      <w:lvlJc w:val="left"/>
      <w:pPr>
        <w:ind w:left="6480" w:hanging="360"/>
      </w:pPr>
      <w:rPr>
        <w:rFonts w:ascii="Wingdings" w:hAnsi="Wingdings" w:hint="default"/>
      </w:rPr>
    </w:lvl>
  </w:abstractNum>
  <w:abstractNum w:abstractNumId="41" w15:restartNumberingAfterBreak="0">
    <w:nsid w:val="4FA24952"/>
    <w:multiLevelType w:val="hybridMultilevel"/>
    <w:tmpl w:val="15BC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773996"/>
    <w:multiLevelType w:val="hybridMultilevel"/>
    <w:tmpl w:val="9AE01962"/>
    <w:lvl w:ilvl="0" w:tplc="77D0DD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3813BD3"/>
    <w:multiLevelType w:val="multilevel"/>
    <w:tmpl w:val="926473C2"/>
    <w:lvl w:ilvl="0">
      <w:start w:val="1"/>
      <w:numFmt w:val="lowerRoman"/>
      <w:lvlText w:val="(%1)"/>
      <w:lvlJc w:val="left"/>
      <w:pPr>
        <w:tabs>
          <w:tab w:val="num" w:pos="360"/>
        </w:tabs>
        <w:ind w:left="360" w:hanging="360"/>
      </w:pPr>
      <w:rPr>
        <w:rFonts w:hint="default"/>
      </w:rPr>
    </w:lvl>
    <w:lvl w:ilvl="1">
      <w:start w:val="1"/>
      <w:numFmt w:val="lowerRoman"/>
      <w:lvlText w:val="(%2)"/>
      <w:lvlJc w:val="left"/>
      <w:pPr>
        <w:ind w:left="1440" w:hanging="720"/>
      </w:pPr>
      <w:rPr>
        <w:rFonts w:hint="default"/>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55642898"/>
    <w:multiLevelType w:val="hybridMultilevel"/>
    <w:tmpl w:val="186C4460"/>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C700E8B"/>
    <w:multiLevelType w:val="hybridMultilevel"/>
    <w:tmpl w:val="57781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A15B17"/>
    <w:multiLevelType w:val="multilevel"/>
    <w:tmpl w:val="A25C47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9337BD"/>
    <w:multiLevelType w:val="hybridMultilevel"/>
    <w:tmpl w:val="A37EB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5EC6987"/>
    <w:multiLevelType w:val="multilevel"/>
    <w:tmpl w:val="38FA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096C63"/>
    <w:multiLevelType w:val="hybridMultilevel"/>
    <w:tmpl w:val="D4F66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42741E"/>
    <w:multiLevelType w:val="multilevel"/>
    <w:tmpl w:val="EA46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540296"/>
    <w:multiLevelType w:val="hybridMultilevel"/>
    <w:tmpl w:val="B324DF4A"/>
    <w:lvl w:ilvl="0" w:tplc="0809000F">
      <w:start w:val="1"/>
      <w:numFmt w:val="decimal"/>
      <w:lvlText w:val="%1."/>
      <w:lvlJc w:val="left"/>
      <w:pPr>
        <w:ind w:left="720" w:hanging="360"/>
      </w:pPr>
    </w:lvl>
    <w:lvl w:ilvl="1" w:tplc="9AB0BD80">
      <w:start w:val="1"/>
      <w:numFmt w:val="upperLetter"/>
      <w:lvlText w:val="%2."/>
      <w:lvlJc w:val="left"/>
      <w:pPr>
        <w:ind w:left="1440" w:hanging="360"/>
      </w:pPr>
      <w:rPr>
        <w:color w:val="000000"/>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784C59DB"/>
    <w:multiLevelType w:val="hybridMultilevel"/>
    <w:tmpl w:val="774ADB38"/>
    <w:lvl w:ilvl="0" w:tplc="E1344B82">
      <w:start w:val="1"/>
      <w:numFmt w:val="decimal"/>
      <w:lvlText w:val="%1."/>
      <w:lvlJc w:val="left"/>
      <w:pPr>
        <w:ind w:left="720" w:hanging="36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8AC420C"/>
    <w:multiLevelType w:val="multilevel"/>
    <w:tmpl w:val="68725BE8"/>
    <w:lvl w:ilvl="0">
      <w:start w:val="2"/>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8CF70CA"/>
    <w:multiLevelType w:val="hybridMultilevel"/>
    <w:tmpl w:val="7332A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4448F1"/>
    <w:multiLevelType w:val="hybridMultilevel"/>
    <w:tmpl w:val="DE4C992E"/>
    <w:lvl w:ilvl="0" w:tplc="08090001">
      <w:start w:val="1"/>
      <w:numFmt w:val="bullet"/>
      <w:lvlText w:val=""/>
      <w:lvlJc w:val="left"/>
      <w:pPr>
        <w:ind w:left="2771" w:hanging="360"/>
      </w:pPr>
      <w:rPr>
        <w:rFonts w:ascii="Symbol" w:hAnsi="Symbol" w:hint="default"/>
      </w:rPr>
    </w:lvl>
    <w:lvl w:ilvl="1" w:tplc="08090003">
      <w:start w:val="1"/>
      <w:numFmt w:val="bullet"/>
      <w:lvlText w:val="o"/>
      <w:lvlJc w:val="left"/>
      <w:pPr>
        <w:ind w:left="3491" w:hanging="360"/>
      </w:pPr>
      <w:rPr>
        <w:rFonts w:ascii="Courier New" w:hAnsi="Courier New" w:cs="Courier New" w:hint="default"/>
      </w:rPr>
    </w:lvl>
    <w:lvl w:ilvl="2" w:tplc="08090005">
      <w:start w:val="1"/>
      <w:numFmt w:val="bullet"/>
      <w:lvlText w:val=""/>
      <w:lvlJc w:val="left"/>
      <w:pPr>
        <w:ind w:left="4211" w:hanging="360"/>
      </w:pPr>
      <w:rPr>
        <w:rFonts w:ascii="Wingdings" w:hAnsi="Wingdings" w:hint="default"/>
      </w:rPr>
    </w:lvl>
    <w:lvl w:ilvl="3" w:tplc="08090001">
      <w:start w:val="1"/>
      <w:numFmt w:val="bullet"/>
      <w:lvlText w:val=""/>
      <w:lvlJc w:val="left"/>
      <w:pPr>
        <w:ind w:left="4931" w:hanging="360"/>
      </w:pPr>
      <w:rPr>
        <w:rFonts w:ascii="Symbol" w:hAnsi="Symbol" w:hint="default"/>
      </w:rPr>
    </w:lvl>
    <w:lvl w:ilvl="4" w:tplc="08090003">
      <w:start w:val="1"/>
      <w:numFmt w:val="bullet"/>
      <w:lvlText w:val="o"/>
      <w:lvlJc w:val="left"/>
      <w:pPr>
        <w:ind w:left="5651" w:hanging="360"/>
      </w:pPr>
      <w:rPr>
        <w:rFonts w:ascii="Courier New" w:hAnsi="Courier New" w:cs="Courier New" w:hint="default"/>
      </w:rPr>
    </w:lvl>
    <w:lvl w:ilvl="5" w:tplc="08090005">
      <w:start w:val="1"/>
      <w:numFmt w:val="bullet"/>
      <w:lvlText w:val=""/>
      <w:lvlJc w:val="left"/>
      <w:pPr>
        <w:ind w:left="6371" w:hanging="360"/>
      </w:pPr>
      <w:rPr>
        <w:rFonts w:ascii="Wingdings" w:hAnsi="Wingdings" w:hint="default"/>
      </w:rPr>
    </w:lvl>
    <w:lvl w:ilvl="6" w:tplc="08090001">
      <w:start w:val="1"/>
      <w:numFmt w:val="bullet"/>
      <w:lvlText w:val=""/>
      <w:lvlJc w:val="left"/>
      <w:pPr>
        <w:ind w:left="7091" w:hanging="360"/>
      </w:pPr>
      <w:rPr>
        <w:rFonts w:ascii="Symbol" w:hAnsi="Symbol" w:hint="default"/>
      </w:rPr>
    </w:lvl>
    <w:lvl w:ilvl="7" w:tplc="08090003">
      <w:start w:val="1"/>
      <w:numFmt w:val="bullet"/>
      <w:lvlText w:val="o"/>
      <w:lvlJc w:val="left"/>
      <w:pPr>
        <w:ind w:left="7811" w:hanging="360"/>
      </w:pPr>
      <w:rPr>
        <w:rFonts w:ascii="Courier New" w:hAnsi="Courier New" w:cs="Courier New" w:hint="default"/>
      </w:rPr>
    </w:lvl>
    <w:lvl w:ilvl="8" w:tplc="08090005">
      <w:start w:val="1"/>
      <w:numFmt w:val="bullet"/>
      <w:lvlText w:val=""/>
      <w:lvlJc w:val="left"/>
      <w:pPr>
        <w:ind w:left="8531" w:hanging="360"/>
      </w:pPr>
      <w:rPr>
        <w:rFonts w:ascii="Wingdings" w:hAnsi="Wingdings" w:hint="default"/>
      </w:rPr>
    </w:lvl>
  </w:abstractNum>
  <w:num w:numId="1" w16cid:durableId="1795056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873701">
    <w:abstractNumId w:val="41"/>
  </w:num>
  <w:num w:numId="3" w16cid:durableId="1999306756">
    <w:abstractNumId w:val="32"/>
  </w:num>
  <w:num w:numId="4" w16cid:durableId="2021227076">
    <w:abstractNumId w:val="48"/>
  </w:num>
  <w:num w:numId="5" w16cid:durableId="167335963">
    <w:abstractNumId w:val="12"/>
  </w:num>
  <w:num w:numId="6" w16cid:durableId="63529807">
    <w:abstractNumId w:val="5"/>
  </w:num>
  <w:num w:numId="7" w16cid:durableId="879366217">
    <w:abstractNumId w:val="16"/>
  </w:num>
  <w:num w:numId="8" w16cid:durableId="940644739">
    <w:abstractNumId w:val="15"/>
  </w:num>
  <w:num w:numId="9" w16cid:durableId="620503083">
    <w:abstractNumId w:val="26"/>
  </w:num>
  <w:num w:numId="10" w16cid:durableId="1894850422">
    <w:abstractNumId w:val="17"/>
  </w:num>
  <w:num w:numId="11" w16cid:durableId="5965255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1346174">
    <w:abstractNumId w:val="50"/>
  </w:num>
  <w:num w:numId="13" w16cid:durableId="2109495315">
    <w:abstractNumId w:val="14"/>
  </w:num>
  <w:num w:numId="14" w16cid:durableId="674698060">
    <w:abstractNumId w:val="46"/>
  </w:num>
  <w:num w:numId="15" w16cid:durableId="594246682">
    <w:abstractNumId w:val="33"/>
  </w:num>
  <w:num w:numId="16" w16cid:durableId="330136430">
    <w:abstractNumId w:val="30"/>
  </w:num>
  <w:num w:numId="17" w16cid:durableId="1669216076">
    <w:abstractNumId w:val="53"/>
  </w:num>
  <w:num w:numId="18" w16cid:durableId="1271818140">
    <w:abstractNumId w:val="0"/>
  </w:num>
  <w:num w:numId="19" w16cid:durableId="164711655">
    <w:abstractNumId w:val="34"/>
  </w:num>
  <w:num w:numId="20" w16cid:durableId="9392660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370138">
    <w:abstractNumId w:val="22"/>
  </w:num>
  <w:num w:numId="22" w16cid:durableId="914825275">
    <w:abstractNumId w:val="42"/>
  </w:num>
  <w:num w:numId="23" w16cid:durableId="1027369654">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24" w16cid:durableId="691877284">
    <w:abstractNumId w:val="43"/>
  </w:num>
  <w:num w:numId="25" w16cid:durableId="1136408956">
    <w:abstractNumId w:val="4"/>
  </w:num>
  <w:num w:numId="26" w16cid:durableId="2081058053">
    <w:abstractNumId w:val="38"/>
  </w:num>
  <w:num w:numId="27" w16cid:durableId="1964996693">
    <w:abstractNumId w:val="52"/>
  </w:num>
  <w:num w:numId="28" w16cid:durableId="42292453">
    <w:abstractNumId w:val="54"/>
  </w:num>
  <w:num w:numId="29" w16cid:durableId="1895197582">
    <w:abstractNumId w:val="21"/>
  </w:num>
  <w:num w:numId="30" w16cid:durableId="795638291">
    <w:abstractNumId w:val="7"/>
  </w:num>
  <w:num w:numId="31" w16cid:durableId="2018656738">
    <w:abstractNumId w:val="10"/>
  </w:num>
  <w:num w:numId="32" w16cid:durableId="1014649812">
    <w:abstractNumId w:val="37"/>
  </w:num>
  <w:num w:numId="33" w16cid:durableId="731125894">
    <w:abstractNumId w:val="9"/>
  </w:num>
  <w:num w:numId="34" w16cid:durableId="1779788468">
    <w:abstractNumId w:val="20"/>
  </w:num>
  <w:num w:numId="35" w16cid:durableId="349332578">
    <w:abstractNumId w:val="39"/>
  </w:num>
  <w:num w:numId="36" w16cid:durableId="759066287">
    <w:abstractNumId w:val="45"/>
  </w:num>
  <w:num w:numId="37" w16cid:durableId="900336101">
    <w:abstractNumId w:val="2"/>
  </w:num>
  <w:num w:numId="38" w16cid:durableId="1475758497">
    <w:abstractNumId w:val="23"/>
  </w:num>
  <w:num w:numId="39" w16cid:durableId="2072532930">
    <w:abstractNumId w:val="35"/>
  </w:num>
  <w:num w:numId="40" w16cid:durableId="1494685257">
    <w:abstractNumId w:val="49"/>
  </w:num>
  <w:num w:numId="41" w16cid:durableId="439885032">
    <w:abstractNumId w:val="36"/>
  </w:num>
  <w:num w:numId="42" w16cid:durableId="833569008">
    <w:abstractNumId w:val="19"/>
  </w:num>
  <w:num w:numId="43" w16cid:durableId="2134866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6602331">
    <w:abstractNumId w:val="55"/>
  </w:num>
  <w:num w:numId="45" w16cid:durableId="1408067521">
    <w:abstractNumId w:val="35"/>
  </w:num>
  <w:num w:numId="46" w16cid:durableId="115923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9856753">
    <w:abstractNumId w:val="8"/>
  </w:num>
  <w:num w:numId="48" w16cid:durableId="796604939">
    <w:abstractNumId w:val="29"/>
  </w:num>
  <w:num w:numId="49" w16cid:durableId="161161267">
    <w:abstractNumId w:val="40"/>
  </w:num>
  <w:num w:numId="50" w16cid:durableId="433865833">
    <w:abstractNumId w:val="24"/>
  </w:num>
  <w:num w:numId="51" w16cid:durableId="701636240">
    <w:abstractNumId w:val="28"/>
  </w:num>
  <w:num w:numId="52" w16cid:durableId="1725834814">
    <w:abstractNumId w:val="31"/>
  </w:num>
  <w:num w:numId="53" w16cid:durableId="1473449891">
    <w:abstractNumId w:val="3"/>
  </w:num>
  <w:num w:numId="54" w16cid:durableId="65686947">
    <w:abstractNumId w:val="6"/>
  </w:num>
  <w:num w:numId="55" w16cid:durableId="1622347153">
    <w:abstractNumId w:val="27"/>
  </w:num>
  <w:num w:numId="56" w16cid:durableId="391778309">
    <w:abstractNumId w:val="1"/>
  </w:num>
  <w:num w:numId="57" w16cid:durableId="37825927">
    <w:abstractNumId w:val="18"/>
  </w:num>
  <w:num w:numId="58" w16cid:durableId="1240335909">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1&lt;/LineSpacing&gt;&lt;SpaceAfter&gt;1&lt;/SpaceAfter&gt;&lt;HyperlinksEnabled&gt;0&lt;/HyperlinksEnabled&gt;&lt;HyperlinksVisible&gt;0&lt;/HyperlinksVisible&gt;&lt;EnableBibliographyCategories&gt;0&lt;/EnableBibliographyCategories&gt;&lt;/ENLayout&gt;"/>
    <w:docVar w:name="EN.Libraries" w:val="&lt;Libraries&gt;&lt;item db-id=&quot;e5r9rvwr3wzde8esefqvpvx0sxdpdp2zffxa&quot;&gt;ESORT EndNote Library&lt;record-ids&gt;&lt;item&gt;2&lt;/item&gt;&lt;item&gt;3&lt;/item&gt;&lt;item&gt;4&lt;/item&gt;&lt;item&gt;7&lt;/item&gt;&lt;item&gt;8&lt;/item&gt;&lt;item&gt;9&lt;/item&gt;&lt;item&gt;11&lt;/item&gt;&lt;item&gt;12&lt;/item&gt;&lt;item&gt;14&lt;/item&gt;&lt;item&gt;15&lt;/item&gt;&lt;item&gt;16&lt;/item&gt;&lt;item&gt;17&lt;/item&gt;&lt;item&gt;18&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95&lt;/item&gt;&lt;item&gt;96&lt;/item&gt;&lt;item&gt;97&lt;/item&gt;&lt;item&gt;98&lt;/item&gt;&lt;item&gt;99&lt;/item&gt;&lt;item&gt;100&lt;/item&gt;&lt;item&gt;101&lt;/item&gt;&lt;item&gt;102&lt;/item&gt;&lt;item&gt;103&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9&lt;/item&gt;&lt;item&gt;140&lt;/item&gt;&lt;item&gt;141&lt;/item&gt;&lt;item&gt;142&lt;/item&gt;&lt;item&gt;143&lt;/item&gt;&lt;item&gt;144&lt;/item&gt;&lt;item&gt;145&lt;/item&gt;&lt;item&gt;146&lt;/item&gt;&lt;item&gt;147&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record-ids&gt;&lt;/item&gt;&lt;/Libraries&gt;"/>
  </w:docVars>
  <w:rsids>
    <w:rsidRoot w:val="00B543AE"/>
    <w:rsid w:val="000000E2"/>
    <w:rsid w:val="000004D9"/>
    <w:rsid w:val="00000947"/>
    <w:rsid w:val="00001B1C"/>
    <w:rsid w:val="00002134"/>
    <w:rsid w:val="000033CB"/>
    <w:rsid w:val="00006433"/>
    <w:rsid w:val="0000649B"/>
    <w:rsid w:val="00006560"/>
    <w:rsid w:val="000070FF"/>
    <w:rsid w:val="00007775"/>
    <w:rsid w:val="0001077D"/>
    <w:rsid w:val="0001192C"/>
    <w:rsid w:val="00013CA3"/>
    <w:rsid w:val="00014215"/>
    <w:rsid w:val="000154D2"/>
    <w:rsid w:val="00015852"/>
    <w:rsid w:val="00016968"/>
    <w:rsid w:val="0001753C"/>
    <w:rsid w:val="00017D43"/>
    <w:rsid w:val="0002063C"/>
    <w:rsid w:val="00020A76"/>
    <w:rsid w:val="00020B96"/>
    <w:rsid w:val="00020BFC"/>
    <w:rsid w:val="00021F65"/>
    <w:rsid w:val="000228BA"/>
    <w:rsid w:val="000229FD"/>
    <w:rsid w:val="00023BF7"/>
    <w:rsid w:val="00024A7E"/>
    <w:rsid w:val="00024FDE"/>
    <w:rsid w:val="000250A0"/>
    <w:rsid w:val="0002556C"/>
    <w:rsid w:val="00025DAD"/>
    <w:rsid w:val="00027B53"/>
    <w:rsid w:val="00027B7F"/>
    <w:rsid w:val="0003116D"/>
    <w:rsid w:val="00031D0E"/>
    <w:rsid w:val="000329DE"/>
    <w:rsid w:val="0003583E"/>
    <w:rsid w:val="0003609B"/>
    <w:rsid w:val="0003651E"/>
    <w:rsid w:val="00037393"/>
    <w:rsid w:val="00040811"/>
    <w:rsid w:val="00041570"/>
    <w:rsid w:val="0004335D"/>
    <w:rsid w:val="00043CF6"/>
    <w:rsid w:val="000442CA"/>
    <w:rsid w:val="00044378"/>
    <w:rsid w:val="0004555A"/>
    <w:rsid w:val="000459D7"/>
    <w:rsid w:val="00046967"/>
    <w:rsid w:val="00050A5D"/>
    <w:rsid w:val="000511A2"/>
    <w:rsid w:val="0005277D"/>
    <w:rsid w:val="000542C5"/>
    <w:rsid w:val="00055DA3"/>
    <w:rsid w:val="00056E15"/>
    <w:rsid w:val="00057119"/>
    <w:rsid w:val="00057746"/>
    <w:rsid w:val="000602A8"/>
    <w:rsid w:val="00061432"/>
    <w:rsid w:val="000618FF"/>
    <w:rsid w:val="000641B3"/>
    <w:rsid w:val="0006491F"/>
    <w:rsid w:val="00070091"/>
    <w:rsid w:val="000717D2"/>
    <w:rsid w:val="00071898"/>
    <w:rsid w:val="000724DE"/>
    <w:rsid w:val="00073093"/>
    <w:rsid w:val="00075050"/>
    <w:rsid w:val="00075C6A"/>
    <w:rsid w:val="000767C0"/>
    <w:rsid w:val="00076921"/>
    <w:rsid w:val="00076D20"/>
    <w:rsid w:val="00077196"/>
    <w:rsid w:val="00077D25"/>
    <w:rsid w:val="00080B62"/>
    <w:rsid w:val="0008136F"/>
    <w:rsid w:val="00081689"/>
    <w:rsid w:val="00082084"/>
    <w:rsid w:val="00082118"/>
    <w:rsid w:val="00085543"/>
    <w:rsid w:val="000860FB"/>
    <w:rsid w:val="0008791A"/>
    <w:rsid w:val="00087CB4"/>
    <w:rsid w:val="00091318"/>
    <w:rsid w:val="0009240C"/>
    <w:rsid w:val="00094330"/>
    <w:rsid w:val="000952AD"/>
    <w:rsid w:val="000A04B9"/>
    <w:rsid w:val="000A1ACC"/>
    <w:rsid w:val="000A273F"/>
    <w:rsid w:val="000A298E"/>
    <w:rsid w:val="000A2B09"/>
    <w:rsid w:val="000A2BCA"/>
    <w:rsid w:val="000A2F40"/>
    <w:rsid w:val="000A3EAA"/>
    <w:rsid w:val="000A427F"/>
    <w:rsid w:val="000A4F54"/>
    <w:rsid w:val="000A5D59"/>
    <w:rsid w:val="000A5FEF"/>
    <w:rsid w:val="000A6B23"/>
    <w:rsid w:val="000A6CFE"/>
    <w:rsid w:val="000A75CB"/>
    <w:rsid w:val="000A7CAF"/>
    <w:rsid w:val="000B0181"/>
    <w:rsid w:val="000B2382"/>
    <w:rsid w:val="000B29B7"/>
    <w:rsid w:val="000B2E44"/>
    <w:rsid w:val="000B3CAD"/>
    <w:rsid w:val="000B3EC8"/>
    <w:rsid w:val="000B46CC"/>
    <w:rsid w:val="000B5A97"/>
    <w:rsid w:val="000B6A6A"/>
    <w:rsid w:val="000B75DA"/>
    <w:rsid w:val="000B7B7C"/>
    <w:rsid w:val="000B7DD8"/>
    <w:rsid w:val="000C0830"/>
    <w:rsid w:val="000C0CA9"/>
    <w:rsid w:val="000C0E03"/>
    <w:rsid w:val="000C0E55"/>
    <w:rsid w:val="000C14A0"/>
    <w:rsid w:val="000C187C"/>
    <w:rsid w:val="000C2085"/>
    <w:rsid w:val="000C22C6"/>
    <w:rsid w:val="000C2B1A"/>
    <w:rsid w:val="000C3ABF"/>
    <w:rsid w:val="000C4828"/>
    <w:rsid w:val="000C56D0"/>
    <w:rsid w:val="000C5C6B"/>
    <w:rsid w:val="000D295A"/>
    <w:rsid w:val="000D2E4A"/>
    <w:rsid w:val="000D3256"/>
    <w:rsid w:val="000D3A22"/>
    <w:rsid w:val="000D4D73"/>
    <w:rsid w:val="000D6401"/>
    <w:rsid w:val="000D7AEB"/>
    <w:rsid w:val="000E027D"/>
    <w:rsid w:val="000E1997"/>
    <w:rsid w:val="000E390D"/>
    <w:rsid w:val="000E3AA1"/>
    <w:rsid w:val="000E5542"/>
    <w:rsid w:val="000E5580"/>
    <w:rsid w:val="000E558C"/>
    <w:rsid w:val="000E705D"/>
    <w:rsid w:val="000E7112"/>
    <w:rsid w:val="000E71BA"/>
    <w:rsid w:val="000E771F"/>
    <w:rsid w:val="000F00BA"/>
    <w:rsid w:val="000F0F97"/>
    <w:rsid w:val="000F1686"/>
    <w:rsid w:val="000F4109"/>
    <w:rsid w:val="00101974"/>
    <w:rsid w:val="001027A8"/>
    <w:rsid w:val="0010341C"/>
    <w:rsid w:val="00103C89"/>
    <w:rsid w:val="001058B5"/>
    <w:rsid w:val="0011121B"/>
    <w:rsid w:val="001115EB"/>
    <w:rsid w:val="00111F5C"/>
    <w:rsid w:val="00112909"/>
    <w:rsid w:val="00113D42"/>
    <w:rsid w:val="00114784"/>
    <w:rsid w:val="00114F24"/>
    <w:rsid w:val="001150D6"/>
    <w:rsid w:val="00116E17"/>
    <w:rsid w:val="0012052D"/>
    <w:rsid w:val="0012177A"/>
    <w:rsid w:val="00121885"/>
    <w:rsid w:val="00121D11"/>
    <w:rsid w:val="00121F6A"/>
    <w:rsid w:val="00122571"/>
    <w:rsid w:val="00122A28"/>
    <w:rsid w:val="00123383"/>
    <w:rsid w:val="00123B2E"/>
    <w:rsid w:val="001244B7"/>
    <w:rsid w:val="00125CCF"/>
    <w:rsid w:val="00126328"/>
    <w:rsid w:val="00132873"/>
    <w:rsid w:val="0013529C"/>
    <w:rsid w:val="00135A18"/>
    <w:rsid w:val="001414C1"/>
    <w:rsid w:val="00141F8B"/>
    <w:rsid w:val="001420A4"/>
    <w:rsid w:val="00142B12"/>
    <w:rsid w:val="00143900"/>
    <w:rsid w:val="00143E7F"/>
    <w:rsid w:val="00145786"/>
    <w:rsid w:val="00145A91"/>
    <w:rsid w:val="00146B35"/>
    <w:rsid w:val="00146CBC"/>
    <w:rsid w:val="00147745"/>
    <w:rsid w:val="00147FA3"/>
    <w:rsid w:val="00150174"/>
    <w:rsid w:val="00153A11"/>
    <w:rsid w:val="00154476"/>
    <w:rsid w:val="0015533A"/>
    <w:rsid w:val="001565C2"/>
    <w:rsid w:val="001569AC"/>
    <w:rsid w:val="00156B85"/>
    <w:rsid w:val="0015705A"/>
    <w:rsid w:val="0015758B"/>
    <w:rsid w:val="00157B14"/>
    <w:rsid w:val="00157F07"/>
    <w:rsid w:val="001606F5"/>
    <w:rsid w:val="0016174B"/>
    <w:rsid w:val="00161C16"/>
    <w:rsid w:val="00162107"/>
    <w:rsid w:val="00162963"/>
    <w:rsid w:val="00162F4A"/>
    <w:rsid w:val="001635DE"/>
    <w:rsid w:val="00163872"/>
    <w:rsid w:val="0016428B"/>
    <w:rsid w:val="001647CE"/>
    <w:rsid w:val="001649DA"/>
    <w:rsid w:val="0016710B"/>
    <w:rsid w:val="00167316"/>
    <w:rsid w:val="0016764E"/>
    <w:rsid w:val="00171333"/>
    <w:rsid w:val="00172BCB"/>
    <w:rsid w:val="00173254"/>
    <w:rsid w:val="00173B4B"/>
    <w:rsid w:val="00173E48"/>
    <w:rsid w:val="00174176"/>
    <w:rsid w:val="00174269"/>
    <w:rsid w:val="00175204"/>
    <w:rsid w:val="0017657F"/>
    <w:rsid w:val="0017761A"/>
    <w:rsid w:val="001819BC"/>
    <w:rsid w:val="001846AB"/>
    <w:rsid w:val="00184D11"/>
    <w:rsid w:val="001852AB"/>
    <w:rsid w:val="001901F8"/>
    <w:rsid w:val="00192874"/>
    <w:rsid w:val="00192D47"/>
    <w:rsid w:val="0019384C"/>
    <w:rsid w:val="00194420"/>
    <w:rsid w:val="00194F23"/>
    <w:rsid w:val="00194F69"/>
    <w:rsid w:val="001951D1"/>
    <w:rsid w:val="0019540C"/>
    <w:rsid w:val="001969BB"/>
    <w:rsid w:val="001A2817"/>
    <w:rsid w:val="001A4C6A"/>
    <w:rsid w:val="001A4E79"/>
    <w:rsid w:val="001A610D"/>
    <w:rsid w:val="001A7500"/>
    <w:rsid w:val="001B0035"/>
    <w:rsid w:val="001B0201"/>
    <w:rsid w:val="001B04D3"/>
    <w:rsid w:val="001B0679"/>
    <w:rsid w:val="001B0AD9"/>
    <w:rsid w:val="001B194E"/>
    <w:rsid w:val="001B2851"/>
    <w:rsid w:val="001B2E3F"/>
    <w:rsid w:val="001B3391"/>
    <w:rsid w:val="001B3D13"/>
    <w:rsid w:val="001B7287"/>
    <w:rsid w:val="001B77C1"/>
    <w:rsid w:val="001C01D8"/>
    <w:rsid w:val="001C32E5"/>
    <w:rsid w:val="001C3325"/>
    <w:rsid w:val="001C3912"/>
    <w:rsid w:val="001C40AB"/>
    <w:rsid w:val="001C6C1C"/>
    <w:rsid w:val="001C712F"/>
    <w:rsid w:val="001C7D6D"/>
    <w:rsid w:val="001D0314"/>
    <w:rsid w:val="001D2EE6"/>
    <w:rsid w:val="001D49C8"/>
    <w:rsid w:val="001D4C37"/>
    <w:rsid w:val="001D518A"/>
    <w:rsid w:val="001D7FC0"/>
    <w:rsid w:val="001E0215"/>
    <w:rsid w:val="001E0F92"/>
    <w:rsid w:val="001E166A"/>
    <w:rsid w:val="001E3568"/>
    <w:rsid w:val="001E4352"/>
    <w:rsid w:val="001E5846"/>
    <w:rsid w:val="001E6D4C"/>
    <w:rsid w:val="001F019B"/>
    <w:rsid w:val="001F0B2F"/>
    <w:rsid w:val="001F21B0"/>
    <w:rsid w:val="001F21BD"/>
    <w:rsid w:val="001F3B3F"/>
    <w:rsid w:val="001F4396"/>
    <w:rsid w:val="001F5C7E"/>
    <w:rsid w:val="001F624C"/>
    <w:rsid w:val="001F643C"/>
    <w:rsid w:val="001F689D"/>
    <w:rsid w:val="001F7420"/>
    <w:rsid w:val="0020003B"/>
    <w:rsid w:val="002000EC"/>
    <w:rsid w:val="0020028A"/>
    <w:rsid w:val="00200C54"/>
    <w:rsid w:val="00202938"/>
    <w:rsid w:val="00203FCA"/>
    <w:rsid w:val="002078EB"/>
    <w:rsid w:val="00207989"/>
    <w:rsid w:val="0021060F"/>
    <w:rsid w:val="00210CB4"/>
    <w:rsid w:val="002111CD"/>
    <w:rsid w:val="00211D04"/>
    <w:rsid w:val="00211D15"/>
    <w:rsid w:val="00212B12"/>
    <w:rsid w:val="002139D3"/>
    <w:rsid w:val="00213F50"/>
    <w:rsid w:val="00215A3E"/>
    <w:rsid w:val="00216558"/>
    <w:rsid w:val="00217A65"/>
    <w:rsid w:val="00217BB2"/>
    <w:rsid w:val="00217EA8"/>
    <w:rsid w:val="00220E0B"/>
    <w:rsid w:val="00221616"/>
    <w:rsid w:val="0022549E"/>
    <w:rsid w:val="00226524"/>
    <w:rsid w:val="00227229"/>
    <w:rsid w:val="00227400"/>
    <w:rsid w:val="00230044"/>
    <w:rsid w:val="00230235"/>
    <w:rsid w:val="00231635"/>
    <w:rsid w:val="002328DC"/>
    <w:rsid w:val="002335D9"/>
    <w:rsid w:val="00233FEF"/>
    <w:rsid w:val="00235B5B"/>
    <w:rsid w:val="002407E7"/>
    <w:rsid w:val="00243FCA"/>
    <w:rsid w:val="0024498A"/>
    <w:rsid w:val="00247C35"/>
    <w:rsid w:val="00250294"/>
    <w:rsid w:val="002551DE"/>
    <w:rsid w:val="00255F95"/>
    <w:rsid w:val="0025608F"/>
    <w:rsid w:val="00256F4A"/>
    <w:rsid w:val="0025714A"/>
    <w:rsid w:val="0025739F"/>
    <w:rsid w:val="002608DC"/>
    <w:rsid w:val="00260B74"/>
    <w:rsid w:val="00260C67"/>
    <w:rsid w:val="00261326"/>
    <w:rsid w:val="00261AF2"/>
    <w:rsid w:val="0026320C"/>
    <w:rsid w:val="00264CBA"/>
    <w:rsid w:val="002652C7"/>
    <w:rsid w:val="002661C0"/>
    <w:rsid w:val="0026CB6E"/>
    <w:rsid w:val="0027029D"/>
    <w:rsid w:val="00272227"/>
    <w:rsid w:val="00272C2E"/>
    <w:rsid w:val="00273814"/>
    <w:rsid w:val="00275EAE"/>
    <w:rsid w:val="00276E62"/>
    <w:rsid w:val="00277168"/>
    <w:rsid w:val="00281178"/>
    <w:rsid w:val="00281232"/>
    <w:rsid w:val="00282A5A"/>
    <w:rsid w:val="00282F2E"/>
    <w:rsid w:val="002832DD"/>
    <w:rsid w:val="002837FB"/>
    <w:rsid w:val="00283919"/>
    <w:rsid w:val="00284BF2"/>
    <w:rsid w:val="00285CF3"/>
    <w:rsid w:val="002865A4"/>
    <w:rsid w:val="00286851"/>
    <w:rsid w:val="00286AD1"/>
    <w:rsid w:val="002900BB"/>
    <w:rsid w:val="002919FA"/>
    <w:rsid w:val="0029317C"/>
    <w:rsid w:val="00293F19"/>
    <w:rsid w:val="0029777F"/>
    <w:rsid w:val="002A08A9"/>
    <w:rsid w:val="002A12C4"/>
    <w:rsid w:val="002A1743"/>
    <w:rsid w:val="002A1A25"/>
    <w:rsid w:val="002A1F1E"/>
    <w:rsid w:val="002A38E1"/>
    <w:rsid w:val="002A3E3D"/>
    <w:rsid w:val="002A465F"/>
    <w:rsid w:val="002A4D94"/>
    <w:rsid w:val="002A581F"/>
    <w:rsid w:val="002A647D"/>
    <w:rsid w:val="002B1CEF"/>
    <w:rsid w:val="002B1FBA"/>
    <w:rsid w:val="002B1FBC"/>
    <w:rsid w:val="002B54AA"/>
    <w:rsid w:val="002B6145"/>
    <w:rsid w:val="002B6885"/>
    <w:rsid w:val="002B6E0E"/>
    <w:rsid w:val="002B7590"/>
    <w:rsid w:val="002B78AB"/>
    <w:rsid w:val="002C1750"/>
    <w:rsid w:val="002C3AD8"/>
    <w:rsid w:val="002C3F09"/>
    <w:rsid w:val="002C6364"/>
    <w:rsid w:val="002C63FF"/>
    <w:rsid w:val="002C6E12"/>
    <w:rsid w:val="002C7268"/>
    <w:rsid w:val="002C7696"/>
    <w:rsid w:val="002C7727"/>
    <w:rsid w:val="002C7D1F"/>
    <w:rsid w:val="002D04E9"/>
    <w:rsid w:val="002D1CAC"/>
    <w:rsid w:val="002D2051"/>
    <w:rsid w:val="002D29EB"/>
    <w:rsid w:val="002D3A07"/>
    <w:rsid w:val="002D4687"/>
    <w:rsid w:val="002D50CD"/>
    <w:rsid w:val="002D5FAF"/>
    <w:rsid w:val="002D6287"/>
    <w:rsid w:val="002E21BB"/>
    <w:rsid w:val="002E2E90"/>
    <w:rsid w:val="002E48CA"/>
    <w:rsid w:val="002E5849"/>
    <w:rsid w:val="002E64D8"/>
    <w:rsid w:val="002E701E"/>
    <w:rsid w:val="002E7B8F"/>
    <w:rsid w:val="002F085B"/>
    <w:rsid w:val="002F2058"/>
    <w:rsid w:val="002F531D"/>
    <w:rsid w:val="002F5594"/>
    <w:rsid w:val="002F6D7D"/>
    <w:rsid w:val="002F7D79"/>
    <w:rsid w:val="0030088A"/>
    <w:rsid w:val="00301651"/>
    <w:rsid w:val="0030389D"/>
    <w:rsid w:val="0030482D"/>
    <w:rsid w:val="00307342"/>
    <w:rsid w:val="003078DA"/>
    <w:rsid w:val="00307DA7"/>
    <w:rsid w:val="00310314"/>
    <w:rsid w:val="003109AF"/>
    <w:rsid w:val="00312F5A"/>
    <w:rsid w:val="00314412"/>
    <w:rsid w:val="0031479C"/>
    <w:rsid w:val="003148B2"/>
    <w:rsid w:val="003152A4"/>
    <w:rsid w:val="00315A5D"/>
    <w:rsid w:val="00316213"/>
    <w:rsid w:val="00316A7D"/>
    <w:rsid w:val="00317B3D"/>
    <w:rsid w:val="00321064"/>
    <w:rsid w:val="003213D0"/>
    <w:rsid w:val="00322132"/>
    <w:rsid w:val="00322669"/>
    <w:rsid w:val="00322CA5"/>
    <w:rsid w:val="00323055"/>
    <w:rsid w:val="00323422"/>
    <w:rsid w:val="00323A6D"/>
    <w:rsid w:val="00323E92"/>
    <w:rsid w:val="00323F75"/>
    <w:rsid w:val="00327050"/>
    <w:rsid w:val="0032723C"/>
    <w:rsid w:val="003304E9"/>
    <w:rsid w:val="00331CAF"/>
    <w:rsid w:val="003320A9"/>
    <w:rsid w:val="0033295B"/>
    <w:rsid w:val="003341FC"/>
    <w:rsid w:val="00334603"/>
    <w:rsid w:val="003348FF"/>
    <w:rsid w:val="00335134"/>
    <w:rsid w:val="0033544C"/>
    <w:rsid w:val="00336DAC"/>
    <w:rsid w:val="003415E0"/>
    <w:rsid w:val="003462B0"/>
    <w:rsid w:val="00346DE3"/>
    <w:rsid w:val="00347E40"/>
    <w:rsid w:val="0035003D"/>
    <w:rsid w:val="003512F0"/>
    <w:rsid w:val="0035154E"/>
    <w:rsid w:val="00353749"/>
    <w:rsid w:val="00354D45"/>
    <w:rsid w:val="00354D72"/>
    <w:rsid w:val="00362086"/>
    <w:rsid w:val="00363084"/>
    <w:rsid w:val="00363CBD"/>
    <w:rsid w:val="003648C6"/>
    <w:rsid w:val="00364EE8"/>
    <w:rsid w:val="00365F31"/>
    <w:rsid w:val="00370E1E"/>
    <w:rsid w:val="00372C7C"/>
    <w:rsid w:val="00372E63"/>
    <w:rsid w:val="00372F8C"/>
    <w:rsid w:val="00373911"/>
    <w:rsid w:val="00374A10"/>
    <w:rsid w:val="00375467"/>
    <w:rsid w:val="003754DD"/>
    <w:rsid w:val="00377A0B"/>
    <w:rsid w:val="003806DF"/>
    <w:rsid w:val="003809C4"/>
    <w:rsid w:val="00380F46"/>
    <w:rsid w:val="00381252"/>
    <w:rsid w:val="0038237D"/>
    <w:rsid w:val="00384909"/>
    <w:rsid w:val="00386BEA"/>
    <w:rsid w:val="00386E21"/>
    <w:rsid w:val="00387AFE"/>
    <w:rsid w:val="00387BFF"/>
    <w:rsid w:val="003907D6"/>
    <w:rsid w:val="00391284"/>
    <w:rsid w:val="003927CD"/>
    <w:rsid w:val="003928BE"/>
    <w:rsid w:val="00392D93"/>
    <w:rsid w:val="003948AF"/>
    <w:rsid w:val="003952E1"/>
    <w:rsid w:val="0039538F"/>
    <w:rsid w:val="00395781"/>
    <w:rsid w:val="00397539"/>
    <w:rsid w:val="00397DB6"/>
    <w:rsid w:val="003A04AA"/>
    <w:rsid w:val="003A11A2"/>
    <w:rsid w:val="003A19A7"/>
    <w:rsid w:val="003A2499"/>
    <w:rsid w:val="003A27DC"/>
    <w:rsid w:val="003A3AF0"/>
    <w:rsid w:val="003A4B98"/>
    <w:rsid w:val="003A51EA"/>
    <w:rsid w:val="003A758C"/>
    <w:rsid w:val="003A7759"/>
    <w:rsid w:val="003A78C4"/>
    <w:rsid w:val="003A7997"/>
    <w:rsid w:val="003B108C"/>
    <w:rsid w:val="003B1248"/>
    <w:rsid w:val="003B1C44"/>
    <w:rsid w:val="003B1F00"/>
    <w:rsid w:val="003B22E3"/>
    <w:rsid w:val="003B2F8B"/>
    <w:rsid w:val="003B3540"/>
    <w:rsid w:val="003B438F"/>
    <w:rsid w:val="003B7DBF"/>
    <w:rsid w:val="003C138F"/>
    <w:rsid w:val="003C1DDA"/>
    <w:rsid w:val="003C3C8F"/>
    <w:rsid w:val="003C606C"/>
    <w:rsid w:val="003D0711"/>
    <w:rsid w:val="003D0F1D"/>
    <w:rsid w:val="003D115B"/>
    <w:rsid w:val="003D253C"/>
    <w:rsid w:val="003D36F0"/>
    <w:rsid w:val="003D3C10"/>
    <w:rsid w:val="003D4935"/>
    <w:rsid w:val="003D4D13"/>
    <w:rsid w:val="003D4DE1"/>
    <w:rsid w:val="003D568A"/>
    <w:rsid w:val="003D7DA3"/>
    <w:rsid w:val="003E0656"/>
    <w:rsid w:val="003E0AD0"/>
    <w:rsid w:val="003E0C29"/>
    <w:rsid w:val="003E3B7B"/>
    <w:rsid w:val="003E5A5E"/>
    <w:rsid w:val="003E5DED"/>
    <w:rsid w:val="003E5DF0"/>
    <w:rsid w:val="003E64A3"/>
    <w:rsid w:val="003E67FB"/>
    <w:rsid w:val="003E72A2"/>
    <w:rsid w:val="003F128B"/>
    <w:rsid w:val="003F169F"/>
    <w:rsid w:val="003F3863"/>
    <w:rsid w:val="003F45E2"/>
    <w:rsid w:val="004010AA"/>
    <w:rsid w:val="00402D33"/>
    <w:rsid w:val="00402EF5"/>
    <w:rsid w:val="00403228"/>
    <w:rsid w:val="00404610"/>
    <w:rsid w:val="0040469F"/>
    <w:rsid w:val="00404CFC"/>
    <w:rsid w:val="0041071D"/>
    <w:rsid w:val="0041132C"/>
    <w:rsid w:val="004114DB"/>
    <w:rsid w:val="00411869"/>
    <w:rsid w:val="0041251D"/>
    <w:rsid w:val="00415127"/>
    <w:rsid w:val="0041517A"/>
    <w:rsid w:val="00416DCC"/>
    <w:rsid w:val="00422F56"/>
    <w:rsid w:val="0042419E"/>
    <w:rsid w:val="004241F4"/>
    <w:rsid w:val="00424541"/>
    <w:rsid w:val="00426F2F"/>
    <w:rsid w:val="00427A8C"/>
    <w:rsid w:val="00430505"/>
    <w:rsid w:val="004309DF"/>
    <w:rsid w:val="00431516"/>
    <w:rsid w:val="004324EE"/>
    <w:rsid w:val="00432EBC"/>
    <w:rsid w:val="00433AE0"/>
    <w:rsid w:val="00433F4F"/>
    <w:rsid w:val="00434788"/>
    <w:rsid w:val="0043625F"/>
    <w:rsid w:val="00436CCD"/>
    <w:rsid w:val="00436F30"/>
    <w:rsid w:val="004377F5"/>
    <w:rsid w:val="00440246"/>
    <w:rsid w:val="0044098B"/>
    <w:rsid w:val="004411C1"/>
    <w:rsid w:val="00442625"/>
    <w:rsid w:val="004426DA"/>
    <w:rsid w:val="004459D0"/>
    <w:rsid w:val="00446E10"/>
    <w:rsid w:val="00447F7D"/>
    <w:rsid w:val="00450230"/>
    <w:rsid w:val="00450BFB"/>
    <w:rsid w:val="00454738"/>
    <w:rsid w:val="00455E39"/>
    <w:rsid w:val="00455F64"/>
    <w:rsid w:val="00456140"/>
    <w:rsid w:val="00456578"/>
    <w:rsid w:val="004622D2"/>
    <w:rsid w:val="004638B7"/>
    <w:rsid w:val="00463C64"/>
    <w:rsid w:val="00467367"/>
    <w:rsid w:val="00470AA9"/>
    <w:rsid w:val="00470AE4"/>
    <w:rsid w:val="00470CA5"/>
    <w:rsid w:val="0047107B"/>
    <w:rsid w:val="00471269"/>
    <w:rsid w:val="00472F09"/>
    <w:rsid w:val="00473159"/>
    <w:rsid w:val="00473709"/>
    <w:rsid w:val="0047412A"/>
    <w:rsid w:val="00474350"/>
    <w:rsid w:val="00476574"/>
    <w:rsid w:val="0048044D"/>
    <w:rsid w:val="0048209F"/>
    <w:rsid w:val="00482A29"/>
    <w:rsid w:val="0048318D"/>
    <w:rsid w:val="00483414"/>
    <w:rsid w:val="004843AC"/>
    <w:rsid w:val="00485311"/>
    <w:rsid w:val="00486549"/>
    <w:rsid w:val="004879BE"/>
    <w:rsid w:val="00487F95"/>
    <w:rsid w:val="00491900"/>
    <w:rsid w:val="004959E0"/>
    <w:rsid w:val="004959FE"/>
    <w:rsid w:val="0049613E"/>
    <w:rsid w:val="004977E9"/>
    <w:rsid w:val="004A176D"/>
    <w:rsid w:val="004A19AF"/>
    <w:rsid w:val="004A2B6C"/>
    <w:rsid w:val="004A4118"/>
    <w:rsid w:val="004A5176"/>
    <w:rsid w:val="004A6E27"/>
    <w:rsid w:val="004B0090"/>
    <w:rsid w:val="004B078C"/>
    <w:rsid w:val="004B1982"/>
    <w:rsid w:val="004B27FE"/>
    <w:rsid w:val="004B2C8A"/>
    <w:rsid w:val="004B313B"/>
    <w:rsid w:val="004B3885"/>
    <w:rsid w:val="004B3D8B"/>
    <w:rsid w:val="004B3E24"/>
    <w:rsid w:val="004B50DD"/>
    <w:rsid w:val="004B5146"/>
    <w:rsid w:val="004B69F3"/>
    <w:rsid w:val="004C01A1"/>
    <w:rsid w:val="004C40A4"/>
    <w:rsid w:val="004C4B43"/>
    <w:rsid w:val="004C54FC"/>
    <w:rsid w:val="004C6A4F"/>
    <w:rsid w:val="004C7613"/>
    <w:rsid w:val="004D021E"/>
    <w:rsid w:val="004D1FE8"/>
    <w:rsid w:val="004D20F5"/>
    <w:rsid w:val="004D2E4B"/>
    <w:rsid w:val="004D3002"/>
    <w:rsid w:val="004D3280"/>
    <w:rsid w:val="004D3DF5"/>
    <w:rsid w:val="004D3F18"/>
    <w:rsid w:val="004D4755"/>
    <w:rsid w:val="004D6723"/>
    <w:rsid w:val="004E0B1D"/>
    <w:rsid w:val="004E0C08"/>
    <w:rsid w:val="004E0CB0"/>
    <w:rsid w:val="004E1B08"/>
    <w:rsid w:val="004E2A37"/>
    <w:rsid w:val="004E3604"/>
    <w:rsid w:val="004E36E1"/>
    <w:rsid w:val="004E37E5"/>
    <w:rsid w:val="004E3E24"/>
    <w:rsid w:val="004E4454"/>
    <w:rsid w:val="004E4A0E"/>
    <w:rsid w:val="004E4BC6"/>
    <w:rsid w:val="004E505D"/>
    <w:rsid w:val="004E62D8"/>
    <w:rsid w:val="004E7CAD"/>
    <w:rsid w:val="004E7D7F"/>
    <w:rsid w:val="004F24A0"/>
    <w:rsid w:val="004F2F5E"/>
    <w:rsid w:val="004F5EDC"/>
    <w:rsid w:val="004F6F51"/>
    <w:rsid w:val="00500B30"/>
    <w:rsid w:val="00501C41"/>
    <w:rsid w:val="005027D6"/>
    <w:rsid w:val="00503DA7"/>
    <w:rsid w:val="0050403E"/>
    <w:rsid w:val="00504188"/>
    <w:rsid w:val="0050625E"/>
    <w:rsid w:val="00506D0A"/>
    <w:rsid w:val="005074F9"/>
    <w:rsid w:val="005126A9"/>
    <w:rsid w:val="00512ED7"/>
    <w:rsid w:val="0051372C"/>
    <w:rsid w:val="00513A2D"/>
    <w:rsid w:val="00514B4F"/>
    <w:rsid w:val="005153D3"/>
    <w:rsid w:val="005162F0"/>
    <w:rsid w:val="005174C5"/>
    <w:rsid w:val="00520500"/>
    <w:rsid w:val="00521099"/>
    <w:rsid w:val="00522EC4"/>
    <w:rsid w:val="005245F3"/>
    <w:rsid w:val="00524E91"/>
    <w:rsid w:val="00525731"/>
    <w:rsid w:val="00525797"/>
    <w:rsid w:val="00525E65"/>
    <w:rsid w:val="0052773B"/>
    <w:rsid w:val="00531ECC"/>
    <w:rsid w:val="00532217"/>
    <w:rsid w:val="00532606"/>
    <w:rsid w:val="00532857"/>
    <w:rsid w:val="00533F74"/>
    <w:rsid w:val="00536586"/>
    <w:rsid w:val="00536924"/>
    <w:rsid w:val="005377A8"/>
    <w:rsid w:val="00537E45"/>
    <w:rsid w:val="00540F84"/>
    <w:rsid w:val="00541261"/>
    <w:rsid w:val="00544781"/>
    <w:rsid w:val="00544C56"/>
    <w:rsid w:val="0055163B"/>
    <w:rsid w:val="00551FFC"/>
    <w:rsid w:val="00552ACE"/>
    <w:rsid w:val="00553B2A"/>
    <w:rsid w:val="00554544"/>
    <w:rsid w:val="00554E7D"/>
    <w:rsid w:val="00556303"/>
    <w:rsid w:val="00556786"/>
    <w:rsid w:val="00556AE9"/>
    <w:rsid w:val="00556C0D"/>
    <w:rsid w:val="00562136"/>
    <w:rsid w:val="00562820"/>
    <w:rsid w:val="005629CC"/>
    <w:rsid w:val="00562AFF"/>
    <w:rsid w:val="005632F7"/>
    <w:rsid w:val="00565E43"/>
    <w:rsid w:val="00566966"/>
    <w:rsid w:val="00566BD7"/>
    <w:rsid w:val="00570A88"/>
    <w:rsid w:val="0057197D"/>
    <w:rsid w:val="00573399"/>
    <w:rsid w:val="00573D56"/>
    <w:rsid w:val="00575382"/>
    <w:rsid w:val="00575D2B"/>
    <w:rsid w:val="005764AC"/>
    <w:rsid w:val="0057799E"/>
    <w:rsid w:val="005801E5"/>
    <w:rsid w:val="00580C27"/>
    <w:rsid w:val="0058125A"/>
    <w:rsid w:val="005829CC"/>
    <w:rsid w:val="00583FD9"/>
    <w:rsid w:val="00584160"/>
    <w:rsid w:val="00584776"/>
    <w:rsid w:val="00584CA9"/>
    <w:rsid w:val="0058762F"/>
    <w:rsid w:val="0059099D"/>
    <w:rsid w:val="00591DE8"/>
    <w:rsid w:val="00592243"/>
    <w:rsid w:val="005936ED"/>
    <w:rsid w:val="00593E9D"/>
    <w:rsid w:val="00593EFD"/>
    <w:rsid w:val="005950F8"/>
    <w:rsid w:val="0059730B"/>
    <w:rsid w:val="0059770F"/>
    <w:rsid w:val="005A0775"/>
    <w:rsid w:val="005A1BFC"/>
    <w:rsid w:val="005A1E71"/>
    <w:rsid w:val="005A20A1"/>
    <w:rsid w:val="005A25AE"/>
    <w:rsid w:val="005A2F77"/>
    <w:rsid w:val="005A411F"/>
    <w:rsid w:val="005A5642"/>
    <w:rsid w:val="005A5CBE"/>
    <w:rsid w:val="005A6AB2"/>
    <w:rsid w:val="005A6DA4"/>
    <w:rsid w:val="005A6DD5"/>
    <w:rsid w:val="005A7588"/>
    <w:rsid w:val="005A7BA0"/>
    <w:rsid w:val="005B195D"/>
    <w:rsid w:val="005B1EA7"/>
    <w:rsid w:val="005B2501"/>
    <w:rsid w:val="005B2C34"/>
    <w:rsid w:val="005B3642"/>
    <w:rsid w:val="005B3D1F"/>
    <w:rsid w:val="005B4A32"/>
    <w:rsid w:val="005B5294"/>
    <w:rsid w:val="005B6F37"/>
    <w:rsid w:val="005B7289"/>
    <w:rsid w:val="005B7935"/>
    <w:rsid w:val="005C023C"/>
    <w:rsid w:val="005C06CC"/>
    <w:rsid w:val="005C1AFE"/>
    <w:rsid w:val="005C1CC7"/>
    <w:rsid w:val="005C29BE"/>
    <w:rsid w:val="005C3501"/>
    <w:rsid w:val="005C3715"/>
    <w:rsid w:val="005C498E"/>
    <w:rsid w:val="005C4A58"/>
    <w:rsid w:val="005C4C24"/>
    <w:rsid w:val="005C4D1A"/>
    <w:rsid w:val="005C5ADE"/>
    <w:rsid w:val="005C5B67"/>
    <w:rsid w:val="005C5BBD"/>
    <w:rsid w:val="005C62C2"/>
    <w:rsid w:val="005D0C4F"/>
    <w:rsid w:val="005D1AE2"/>
    <w:rsid w:val="005D36EE"/>
    <w:rsid w:val="005D4053"/>
    <w:rsid w:val="005D49B2"/>
    <w:rsid w:val="005D4A95"/>
    <w:rsid w:val="005D612D"/>
    <w:rsid w:val="005D7C52"/>
    <w:rsid w:val="005E1956"/>
    <w:rsid w:val="005E1B30"/>
    <w:rsid w:val="005E22BF"/>
    <w:rsid w:val="005E4F42"/>
    <w:rsid w:val="005E516A"/>
    <w:rsid w:val="005E5D75"/>
    <w:rsid w:val="005E64B0"/>
    <w:rsid w:val="005E6575"/>
    <w:rsid w:val="005E6E26"/>
    <w:rsid w:val="005F19B3"/>
    <w:rsid w:val="005F2982"/>
    <w:rsid w:val="005F2E00"/>
    <w:rsid w:val="005F340C"/>
    <w:rsid w:val="005F42CA"/>
    <w:rsid w:val="005F5EF6"/>
    <w:rsid w:val="005F66FF"/>
    <w:rsid w:val="005F69AB"/>
    <w:rsid w:val="005F7709"/>
    <w:rsid w:val="0060152C"/>
    <w:rsid w:val="0060175B"/>
    <w:rsid w:val="00601AB9"/>
    <w:rsid w:val="006028A0"/>
    <w:rsid w:val="00603396"/>
    <w:rsid w:val="00604B85"/>
    <w:rsid w:val="00605512"/>
    <w:rsid w:val="00605B2B"/>
    <w:rsid w:val="00607406"/>
    <w:rsid w:val="00610684"/>
    <w:rsid w:val="00611B5C"/>
    <w:rsid w:val="00611CCB"/>
    <w:rsid w:val="00612C8B"/>
    <w:rsid w:val="00612FC2"/>
    <w:rsid w:val="006139CE"/>
    <w:rsid w:val="00614480"/>
    <w:rsid w:val="0061518E"/>
    <w:rsid w:val="006161CA"/>
    <w:rsid w:val="006176F4"/>
    <w:rsid w:val="0062089C"/>
    <w:rsid w:val="00621C58"/>
    <w:rsid w:val="00621DE5"/>
    <w:rsid w:val="00622CF9"/>
    <w:rsid w:val="006230E3"/>
    <w:rsid w:val="00623259"/>
    <w:rsid w:val="00623C2F"/>
    <w:rsid w:val="00624777"/>
    <w:rsid w:val="00624D7B"/>
    <w:rsid w:val="00625631"/>
    <w:rsid w:val="00626755"/>
    <w:rsid w:val="006279BE"/>
    <w:rsid w:val="00627B45"/>
    <w:rsid w:val="00630046"/>
    <w:rsid w:val="00630CD6"/>
    <w:rsid w:val="00631812"/>
    <w:rsid w:val="00634E38"/>
    <w:rsid w:val="0063523B"/>
    <w:rsid w:val="006361D3"/>
    <w:rsid w:val="006376A9"/>
    <w:rsid w:val="00637A5B"/>
    <w:rsid w:val="00637DFA"/>
    <w:rsid w:val="00640533"/>
    <w:rsid w:val="0064076F"/>
    <w:rsid w:val="00640E31"/>
    <w:rsid w:val="00643B8B"/>
    <w:rsid w:val="0064598D"/>
    <w:rsid w:val="00645B6F"/>
    <w:rsid w:val="0064747F"/>
    <w:rsid w:val="006476AC"/>
    <w:rsid w:val="00647EDA"/>
    <w:rsid w:val="0065086F"/>
    <w:rsid w:val="00651115"/>
    <w:rsid w:val="00651307"/>
    <w:rsid w:val="00651C60"/>
    <w:rsid w:val="00652C00"/>
    <w:rsid w:val="0065571E"/>
    <w:rsid w:val="00660F0A"/>
    <w:rsid w:val="0066189E"/>
    <w:rsid w:val="006636D8"/>
    <w:rsid w:val="00663E81"/>
    <w:rsid w:val="00664911"/>
    <w:rsid w:val="00666643"/>
    <w:rsid w:val="00666ACB"/>
    <w:rsid w:val="00666C19"/>
    <w:rsid w:val="00670395"/>
    <w:rsid w:val="0067061C"/>
    <w:rsid w:val="00670F75"/>
    <w:rsid w:val="0067246F"/>
    <w:rsid w:val="006729F7"/>
    <w:rsid w:val="00674C37"/>
    <w:rsid w:val="0067771E"/>
    <w:rsid w:val="0068021F"/>
    <w:rsid w:val="00680CC9"/>
    <w:rsid w:val="0068154E"/>
    <w:rsid w:val="00681867"/>
    <w:rsid w:val="006818CF"/>
    <w:rsid w:val="006847D5"/>
    <w:rsid w:val="00685540"/>
    <w:rsid w:val="006871F6"/>
    <w:rsid w:val="00687888"/>
    <w:rsid w:val="00690413"/>
    <w:rsid w:val="0069295A"/>
    <w:rsid w:val="00693D6F"/>
    <w:rsid w:val="006944BD"/>
    <w:rsid w:val="00695BCA"/>
    <w:rsid w:val="00697026"/>
    <w:rsid w:val="006979DE"/>
    <w:rsid w:val="00697C1F"/>
    <w:rsid w:val="006A0503"/>
    <w:rsid w:val="006A176B"/>
    <w:rsid w:val="006A31B1"/>
    <w:rsid w:val="006A366F"/>
    <w:rsid w:val="006A3E06"/>
    <w:rsid w:val="006A417C"/>
    <w:rsid w:val="006A6EBA"/>
    <w:rsid w:val="006A7996"/>
    <w:rsid w:val="006B036F"/>
    <w:rsid w:val="006B05B6"/>
    <w:rsid w:val="006B061C"/>
    <w:rsid w:val="006B0F24"/>
    <w:rsid w:val="006B1D24"/>
    <w:rsid w:val="006B32EE"/>
    <w:rsid w:val="006B3D73"/>
    <w:rsid w:val="006B3F5D"/>
    <w:rsid w:val="006B410E"/>
    <w:rsid w:val="006B4614"/>
    <w:rsid w:val="006B6A27"/>
    <w:rsid w:val="006B702D"/>
    <w:rsid w:val="006B7E98"/>
    <w:rsid w:val="006C017B"/>
    <w:rsid w:val="006C2C0C"/>
    <w:rsid w:val="006C4EF2"/>
    <w:rsid w:val="006C56D2"/>
    <w:rsid w:val="006C6624"/>
    <w:rsid w:val="006C7259"/>
    <w:rsid w:val="006C7A24"/>
    <w:rsid w:val="006D05C0"/>
    <w:rsid w:val="006D1065"/>
    <w:rsid w:val="006D1CBE"/>
    <w:rsid w:val="006D34F7"/>
    <w:rsid w:val="006D350B"/>
    <w:rsid w:val="006D38EC"/>
    <w:rsid w:val="006D424D"/>
    <w:rsid w:val="006D5217"/>
    <w:rsid w:val="006D6BE2"/>
    <w:rsid w:val="006D7A8C"/>
    <w:rsid w:val="006E1215"/>
    <w:rsid w:val="006E273D"/>
    <w:rsid w:val="006E379C"/>
    <w:rsid w:val="006E39A4"/>
    <w:rsid w:val="006E4566"/>
    <w:rsid w:val="006E540D"/>
    <w:rsid w:val="006E5AAA"/>
    <w:rsid w:val="006E5CE8"/>
    <w:rsid w:val="006E74AF"/>
    <w:rsid w:val="006F01F9"/>
    <w:rsid w:val="006F0A28"/>
    <w:rsid w:val="006F10A0"/>
    <w:rsid w:val="006F31C5"/>
    <w:rsid w:val="006F42E7"/>
    <w:rsid w:val="006F72CF"/>
    <w:rsid w:val="006F7532"/>
    <w:rsid w:val="0070181A"/>
    <w:rsid w:val="00701D7F"/>
    <w:rsid w:val="007025ED"/>
    <w:rsid w:val="00702BB3"/>
    <w:rsid w:val="0070332C"/>
    <w:rsid w:val="00703555"/>
    <w:rsid w:val="00703C7A"/>
    <w:rsid w:val="00704414"/>
    <w:rsid w:val="007044F0"/>
    <w:rsid w:val="0070485B"/>
    <w:rsid w:val="00705759"/>
    <w:rsid w:val="00707054"/>
    <w:rsid w:val="00707665"/>
    <w:rsid w:val="007078DE"/>
    <w:rsid w:val="007079F9"/>
    <w:rsid w:val="0071309B"/>
    <w:rsid w:val="0071312A"/>
    <w:rsid w:val="007167D0"/>
    <w:rsid w:val="00716ECA"/>
    <w:rsid w:val="00717023"/>
    <w:rsid w:val="00720613"/>
    <w:rsid w:val="00721BFB"/>
    <w:rsid w:val="0072396B"/>
    <w:rsid w:val="00724213"/>
    <w:rsid w:val="00724AE6"/>
    <w:rsid w:val="00724C5B"/>
    <w:rsid w:val="00724E7C"/>
    <w:rsid w:val="007258D8"/>
    <w:rsid w:val="007264C7"/>
    <w:rsid w:val="007318BC"/>
    <w:rsid w:val="00731E10"/>
    <w:rsid w:val="007339CB"/>
    <w:rsid w:val="0073482E"/>
    <w:rsid w:val="0073571B"/>
    <w:rsid w:val="00737460"/>
    <w:rsid w:val="00737D22"/>
    <w:rsid w:val="007407ED"/>
    <w:rsid w:val="00740CDE"/>
    <w:rsid w:val="007417B0"/>
    <w:rsid w:val="00741EFE"/>
    <w:rsid w:val="007424D4"/>
    <w:rsid w:val="0074321A"/>
    <w:rsid w:val="007436E9"/>
    <w:rsid w:val="00743758"/>
    <w:rsid w:val="00743C2D"/>
    <w:rsid w:val="00744BE9"/>
    <w:rsid w:val="00745427"/>
    <w:rsid w:val="00746611"/>
    <w:rsid w:val="00746F18"/>
    <w:rsid w:val="007509DF"/>
    <w:rsid w:val="00750C2A"/>
    <w:rsid w:val="00751F62"/>
    <w:rsid w:val="00752553"/>
    <w:rsid w:val="00752986"/>
    <w:rsid w:val="00753B5B"/>
    <w:rsid w:val="00754670"/>
    <w:rsid w:val="007548F2"/>
    <w:rsid w:val="00756298"/>
    <w:rsid w:val="00756C01"/>
    <w:rsid w:val="00760225"/>
    <w:rsid w:val="007609FD"/>
    <w:rsid w:val="0076171F"/>
    <w:rsid w:val="0076497A"/>
    <w:rsid w:val="00764C85"/>
    <w:rsid w:val="00765A4B"/>
    <w:rsid w:val="00766027"/>
    <w:rsid w:val="007674B6"/>
    <w:rsid w:val="00770A0B"/>
    <w:rsid w:val="00773000"/>
    <w:rsid w:val="007754D3"/>
    <w:rsid w:val="00775FA3"/>
    <w:rsid w:val="007802C2"/>
    <w:rsid w:val="00781B37"/>
    <w:rsid w:val="00784178"/>
    <w:rsid w:val="00786C4F"/>
    <w:rsid w:val="0078773D"/>
    <w:rsid w:val="00790090"/>
    <w:rsid w:val="0079174D"/>
    <w:rsid w:val="0079338C"/>
    <w:rsid w:val="007940CD"/>
    <w:rsid w:val="0079449D"/>
    <w:rsid w:val="007948CE"/>
    <w:rsid w:val="007A1031"/>
    <w:rsid w:val="007A1259"/>
    <w:rsid w:val="007A1427"/>
    <w:rsid w:val="007A1C2A"/>
    <w:rsid w:val="007A4212"/>
    <w:rsid w:val="007A4E87"/>
    <w:rsid w:val="007A5879"/>
    <w:rsid w:val="007A5E0D"/>
    <w:rsid w:val="007A77AF"/>
    <w:rsid w:val="007A7E1C"/>
    <w:rsid w:val="007B0671"/>
    <w:rsid w:val="007B092D"/>
    <w:rsid w:val="007B1127"/>
    <w:rsid w:val="007B2324"/>
    <w:rsid w:val="007B2504"/>
    <w:rsid w:val="007B2A9D"/>
    <w:rsid w:val="007B39E6"/>
    <w:rsid w:val="007B3B2C"/>
    <w:rsid w:val="007B55D6"/>
    <w:rsid w:val="007B6C96"/>
    <w:rsid w:val="007B6CF2"/>
    <w:rsid w:val="007B7FC1"/>
    <w:rsid w:val="007C0960"/>
    <w:rsid w:val="007C1803"/>
    <w:rsid w:val="007C32A8"/>
    <w:rsid w:val="007C4491"/>
    <w:rsid w:val="007C5538"/>
    <w:rsid w:val="007C5611"/>
    <w:rsid w:val="007C608D"/>
    <w:rsid w:val="007C6CB5"/>
    <w:rsid w:val="007C747D"/>
    <w:rsid w:val="007C78CF"/>
    <w:rsid w:val="007D081E"/>
    <w:rsid w:val="007D0D06"/>
    <w:rsid w:val="007D1A87"/>
    <w:rsid w:val="007D1ACB"/>
    <w:rsid w:val="007D214E"/>
    <w:rsid w:val="007D25FD"/>
    <w:rsid w:val="007D3A17"/>
    <w:rsid w:val="007D46AA"/>
    <w:rsid w:val="007D5B35"/>
    <w:rsid w:val="007D5C12"/>
    <w:rsid w:val="007D5E77"/>
    <w:rsid w:val="007D6D3B"/>
    <w:rsid w:val="007D6FB2"/>
    <w:rsid w:val="007E1E5D"/>
    <w:rsid w:val="007E5A1F"/>
    <w:rsid w:val="007E5CB6"/>
    <w:rsid w:val="007E627F"/>
    <w:rsid w:val="007E6EC2"/>
    <w:rsid w:val="007E73BB"/>
    <w:rsid w:val="007F01D4"/>
    <w:rsid w:val="007F0726"/>
    <w:rsid w:val="007F3691"/>
    <w:rsid w:val="007F5688"/>
    <w:rsid w:val="007F5865"/>
    <w:rsid w:val="007F5FB8"/>
    <w:rsid w:val="007F7246"/>
    <w:rsid w:val="007F7628"/>
    <w:rsid w:val="008029C2"/>
    <w:rsid w:val="00802A2E"/>
    <w:rsid w:val="00803243"/>
    <w:rsid w:val="008034CF"/>
    <w:rsid w:val="0080607A"/>
    <w:rsid w:val="0080766C"/>
    <w:rsid w:val="008109DD"/>
    <w:rsid w:val="00810E90"/>
    <w:rsid w:val="00811F3B"/>
    <w:rsid w:val="00812076"/>
    <w:rsid w:val="0081253D"/>
    <w:rsid w:val="00814CCA"/>
    <w:rsid w:val="00814FC9"/>
    <w:rsid w:val="00816CA3"/>
    <w:rsid w:val="00816F05"/>
    <w:rsid w:val="008171D0"/>
    <w:rsid w:val="00820F44"/>
    <w:rsid w:val="00821042"/>
    <w:rsid w:val="00822142"/>
    <w:rsid w:val="008228F1"/>
    <w:rsid w:val="00823443"/>
    <w:rsid w:val="00823DAF"/>
    <w:rsid w:val="00824255"/>
    <w:rsid w:val="00827427"/>
    <w:rsid w:val="00830817"/>
    <w:rsid w:val="00832311"/>
    <w:rsid w:val="00832741"/>
    <w:rsid w:val="008328A8"/>
    <w:rsid w:val="00832AF9"/>
    <w:rsid w:val="00834B1C"/>
    <w:rsid w:val="00835B0A"/>
    <w:rsid w:val="0083719F"/>
    <w:rsid w:val="00837AE6"/>
    <w:rsid w:val="00840AD6"/>
    <w:rsid w:val="00840BF5"/>
    <w:rsid w:val="0084181A"/>
    <w:rsid w:val="008419F6"/>
    <w:rsid w:val="00841E50"/>
    <w:rsid w:val="008432B2"/>
    <w:rsid w:val="00844485"/>
    <w:rsid w:val="00844DB6"/>
    <w:rsid w:val="00845042"/>
    <w:rsid w:val="00845369"/>
    <w:rsid w:val="008453BA"/>
    <w:rsid w:val="00847A41"/>
    <w:rsid w:val="00847E5C"/>
    <w:rsid w:val="00850905"/>
    <w:rsid w:val="008523E9"/>
    <w:rsid w:val="0085243C"/>
    <w:rsid w:val="00852662"/>
    <w:rsid w:val="008527ED"/>
    <w:rsid w:val="0085318D"/>
    <w:rsid w:val="00853DD2"/>
    <w:rsid w:val="00855B9D"/>
    <w:rsid w:val="00857BC9"/>
    <w:rsid w:val="00860008"/>
    <w:rsid w:val="008604D1"/>
    <w:rsid w:val="00860CAF"/>
    <w:rsid w:val="008640C0"/>
    <w:rsid w:val="00866983"/>
    <w:rsid w:val="00870154"/>
    <w:rsid w:val="008707F7"/>
    <w:rsid w:val="0087129B"/>
    <w:rsid w:val="00871B25"/>
    <w:rsid w:val="00872C15"/>
    <w:rsid w:val="00872C9F"/>
    <w:rsid w:val="00873F75"/>
    <w:rsid w:val="008743E2"/>
    <w:rsid w:val="008748D3"/>
    <w:rsid w:val="00876CCC"/>
    <w:rsid w:val="00876CE3"/>
    <w:rsid w:val="00877915"/>
    <w:rsid w:val="0088211A"/>
    <w:rsid w:val="00883F74"/>
    <w:rsid w:val="008840A3"/>
    <w:rsid w:val="008843D9"/>
    <w:rsid w:val="0088451D"/>
    <w:rsid w:val="0088454E"/>
    <w:rsid w:val="00884BDC"/>
    <w:rsid w:val="0088586A"/>
    <w:rsid w:val="00885D6E"/>
    <w:rsid w:val="00891D0E"/>
    <w:rsid w:val="0089333F"/>
    <w:rsid w:val="008939CC"/>
    <w:rsid w:val="00893CE3"/>
    <w:rsid w:val="00893E77"/>
    <w:rsid w:val="00894B88"/>
    <w:rsid w:val="00896E8F"/>
    <w:rsid w:val="00897204"/>
    <w:rsid w:val="0089793E"/>
    <w:rsid w:val="008A04B0"/>
    <w:rsid w:val="008A2284"/>
    <w:rsid w:val="008A41EA"/>
    <w:rsid w:val="008A44AD"/>
    <w:rsid w:val="008A4F47"/>
    <w:rsid w:val="008A596F"/>
    <w:rsid w:val="008A6EB0"/>
    <w:rsid w:val="008A6EE1"/>
    <w:rsid w:val="008A71E3"/>
    <w:rsid w:val="008B0CCF"/>
    <w:rsid w:val="008B1073"/>
    <w:rsid w:val="008B186E"/>
    <w:rsid w:val="008B2E28"/>
    <w:rsid w:val="008B3329"/>
    <w:rsid w:val="008B3E3F"/>
    <w:rsid w:val="008B3EB2"/>
    <w:rsid w:val="008B560E"/>
    <w:rsid w:val="008B59B5"/>
    <w:rsid w:val="008B7788"/>
    <w:rsid w:val="008C09D9"/>
    <w:rsid w:val="008C2156"/>
    <w:rsid w:val="008C36EC"/>
    <w:rsid w:val="008C3F44"/>
    <w:rsid w:val="008C66FF"/>
    <w:rsid w:val="008C7EBB"/>
    <w:rsid w:val="008D0B5F"/>
    <w:rsid w:val="008D1512"/>
    <w:rsid w:val="008D1624"/>
    <w:rsid w:val="008D26A6"/>
    <w:rsid w:val="008D2A42"/>
    <w:rsid w:val="008D3116"/>
    <w:rsid w:val="008D3C44"/>
    <w:rsid w:val="008D5E6C"/>
    <w:rsid w:val="008D670E"/>
    <w:rsid w:val="008D6B69"/>
    <w:rsid w:val="008D73EA"/>
    <w:rsid w:val="008E2843"/>
    <w:rsid w:val="008E2C76"/>
    <w:rsid w:val="008E41EC"/>
    <w:rsid w:val="008E544A"/>
    <w:rsid w:val="008E6069"/>
    <w:rsid w:val="008E7893"/>
    <w:rsid w:val="008E79BB"/>
    <w:rsid w:val="008F073D"/>
    <w:rsid w:val="008F087D"/>
    <w:rsid w:val="008F1AA1"/>
    <w:rsid w:val="008F1AD7"/>
    <w:rsid w:val="008F2396"/>
    <w:rsid w:val="008F2F44"/>
    <w:rsid w:val="008F2F8A"/>
    <w:rsid w:val="008F47F7"/>
    <w:rsid w:val="008F4A38"/>
    <w:rsid w:val="008F509E"/>
    <w:rsid w:val="008F50CB"/>
    <w:rsid w:val="008F6A13"/>
    <w:rsid w:val="008F7112"/>
    <w:rsid w:val="008F7845"/>
    <w:rsid w:val="009004A7"/>
    <w:rsid w:val="00901D11"/>
    <w:rsid w:val="0090242F"/>
    <w:rsid w:val="00902A59"/>
    <w:rsid w:val="00903112"/>
    <w:rsid w:val="00903AAC"/>
    <w:rsid w:val="0090409E"/>
    <w:rsid w:val="009040A6"/>
    <w:rsid w:val="009053D5"/>
    <w:rsid w:val="0090570D"/>
    <w:rsid w:val="0090677A"/>
    <w:rsid w:val="00911842"/>
    <w:rsid w:val="00911A13"/>
    <w:rsid w:val="00912098"/>
    <w:rsid w:val="009124FB"/>
    <w:rsid w:val="00913981"/>
    <w:rsid w:val="009153ED"/>
    <w:rsid w:val="009165A3"/>
    <w:rsid w:val="009176C0"/>
    <w:rsid w:val="00920416"/>
    <w:rsid w:val="0092080D"/>
    <w:rsid w:val="00920B6C"/>
    <w:rsid w:val="0092363A"/>
    <w:rsid w:val="00925B7B"/>
    <w:rsid w:val="00925D8C"/>
    <w:rsid w:val="00926160"/>
    <w:rsid w:val="00930EA5"/>
    <w:rsid w:val="009325E0"/>
    <w:rsid w:val="00932F09"/>
    <w:rsid w:val="009340A4"/>
    <w:rsid w:val="009352C1"/>
    <w:rsid w:val="00935577"/>
    <w:rsid w:val="009356F4"/>
    <w:rsid w:val="00935C32"/>
    <w:rsid w:val="00937254"/>
    <w:rsid w:val="009372EB"/>
    <w:rsid w:val="0093780F"/>
    <w:rsid w:val="00941155"/>
    <w:rsid w:val="00941655"/>
    <w:rsid w:val="00941AD4"/>
    <w:rsid w:val="00941D7A"/>
    <w:rsid w:val="00941E54"/>
    <w:rsid w:val="00942382"/>
    <w:rsid w:val="00942E04"/>
    <w:rsid w:val="00944D05"/>
    <w:rsid w:val="00944FC5"/>
    <w:rsid w:val="009462DB"/>
    <w:rsid w:val="0094668A"/>
    <w:rsid w:val="00950293"/>
    <w:rsid w:val="0095110F"/>
    <w:rsid w:val="00951196"/>
    <w:rsid w:val="009527F4"/>
    <w:rsid w:val="009529E2"/>
    <w:rsid w:val="00956193"/>
    <w:rsid w:val="00957008"/>
    <w:rsid w:val="0096100B"/>
    <w:rsid w:val="0096107A"/>
    <w:rsid w:val="009620B1"/>
    <w:rsid w:val="009631BD"/>
    <w:rsid w:val="00964BA0"/>
    <w:rsid w:val="00964D9C"/>
    <w:rsid w:val="00965460"/>
    <w:rsid w:val="00967403"/>
    <w:rsid w:val="00967B58"/>
    <w:rsid w:val="00970877"/>
    <w:rsid w:val="00971ABE"/>
    <w:rsid w:val="00977885"/>
    <w:rsid w:val="00977A69"/>
    <w:rsid w:val="00980AEA"/>
    <w:rsid w:val="009817BB"/>
    <w:rsid w:val="009818D3"/>
    <w:rsid w:val="00984186"/>
    <w:rsid w:val="00986A1F"/>
    <w:rsid w:val="0098713A"/>
    <w:rsid w:val="00987622"/>
    <w:rsid w:val="0098769A"/>
    <w:rsid w:val="009934D0"/>
    <w:rsid w:val="00997BB8"/>
    <w:rsid w:val="00997ECD"/>
    <w:rsid w:val="009A0743"/>
    <w:rsid w:val="009A0FF5"/>
    <w:rsid w:val="009A1391"/>
    <w:rsid w:val="009A3345"/>
    <w:rsid w:val="009A3BD6"/>
    <w:rsid w:val="009A4359"/>
    <w:rsid w:val="009A48C6"/>
    <w:rsid w:val="009A4F3B"/>
    <w:rsid w:val="009A79C9"/>
    <w:rsid w:val="009B0037"/>
    <w:rsid w:val="009B07F2"/>
    <w:rsid w:val="009B081C"/>
    <w:rsid w:val="009B088E"/>
    <w:rsid w:val="009B26B0"/>
    <w:rsid w:val="009B29A3"/>
    <w:rsid w:val="009B2A52"/>
    <w:rsid w:val="009B2F73"/>
    <w:rsid w:val="009B3EC9"/>
    <w:rsid w:val="009B5A73"/>
    <w:rsid w:val="009B6230"/>
    <w:rsid w:val="009B711C"/>
    <w:rsid w:val="009B7F7E"/>
    <w:rsid w:val="009C4C10"/>
    <w:rsid w:val="009C52BB"/>
    <w:rsid w:val="009C598E"/>
    <w:rsid w:val="009C5AFE"/>
    <w:rsid w:val="009C5E0E"/>
    <w:rsid w:val="009C5F7D"/>
    <w:rsid w:val="009C69C9"/>
    <w:rsid w:val="009C72F8"/>
    <w:rsid w:val="009C7825"/>
    <w:rsid w:val="009D03A0"/>
    <w:rsid w:val="009D1088"/>
    <w:rsid w:val="009D1E19"/>
    <w:rsid w:val="009D25F5"/>
    <w:rsid w:val="009D5A67"/>
    <w:rsid w:val="009D6C9F"/>
    <w:rsid w:val="009D7E41"/>
    <w:rsid w:val="009E0102"/>
    <w:rsid w:val="009E04E4"/>
    <w:rsid w:val="009E14C1"/>
    <w:rsid w:val="009E1994"/>
    <w:rsid w:val="009E461C"/>
    <w:rsid w:val="009E5BB8"/>
    <w:rsid w:val="009E75CE"/>
    <w:rsid w:val="009E7897"/>
    <w:rsid w:val="009F1ACD"/>
    <w:rsid w:val="009F1C36"/>
    <w:rsid w:val="009F2FFD"/>
    <w:rsid w:val="009F308E"/>
    <w:rsid w:val="009F5BFA"/>
    <w:rsid w:val="009F6BA1"/>
    <w:rsid w:val="009F7D52"/>
    <w:rsid w:val="00A0040D"/>
    <w:rsid w:val="00A00C0D"/>
    <w:rsid w:val="00A012F6"/>
    <w:rsid w:val="00A02D17"/>
    <w:rsid w:val="00A034F8"/>
    <w:rsid w:val="00A04393"/>
    <w:rsid w:val="00A05020"/>
    <w:rsid w:val="00A054BD"/>
    <w:rsid w:val="00A06316"/>
    <w:rsid w:val="00A10240"/>
    <w:rsid w:val="00A12388"/>
    <w:rsid w:val="00A12902"/>
    <w:rsid w:val="00A12FD9"/>
    <w:rsid w:val="00A16EB4"/>
    <w:rsid w:val="00A17126"/>
    <w:rsid w:val="00A20DB9"/>
    <w:rsid w:val="00A223B3"/>
    <w:rsid w:val="00A233A9"/>
    <w:rsid w:val="00A24F38"/>
    <w:rsid w:val="00A26E8E"/>
    <w:rsid w:val="00A278E2"/>
    <w:rsid w:val="00A3051A"/>
    <w:rsid w:val="00A30DCC"/>
    <w:rsid w:val="00A3183A"/>
    <w:rsid w:val="00A31D11"/>
    <w:rsid w:val="00A32622"/>
    <w:rsid w:val="00A32D85"/>
    <w:rsid w:val="00A32E5C"/>
    <w:rsid w:val="00A32FC1"/>
    <w:rsid w:val="00A34249"/>
    <w:rsid w:val="00A34D53"/>
    <w:rsid w:val="00A34E53"/>
    <w:rsid w:val="00A357E4"/>
    <w:rsid w:val="00A35FF4"/>
    <w:rsid w:val="00A36AFF"/>
    <w:rsid w:val="00A40DCC"/>
    <w:rsid w:val="00A41973"/>
    <w:rsid w:val="00A420D7"/>
    <w:rsid w:val="00A44BDC"/>
    <w:rsid w:val="00A466BB"/>
    <w:rsid w:val="00A47539"/>
    <w:rsid w:val="00A47EB0"/>
    <w:rsid w:val="00A50119"/>
    <w:rsid w:val="00A5102A"/>
    <w:rsid w:val="00A51CF2"/>
    <w:rsid w:val="00A52C77"/>
    <w:rsid w:val="00A54B6F"/>
    <w:rsid w:val="00A55586"/>
    <w:rsid w:val="00A55C72"/>
    <w:rsid w:val="00A56EA3"/>
    <w:rsid w:val="00A5748A"/>
    <w:rsid w:val="00A61F9E"/>
    <w:rsid w:val="00A645D5"/>
    <w:rsid w:val="00A6502B"/>
    <w:rsid w:val="00A65695"/>
    <w:rsid w:val="00A65D9E"/>
    <w:rsid w:val="00A66887"/>
    <w:rsid w:val="00A668E9"/>
    <w:rsid w:val="00A67134"/>
    <w:rsid w:val="00A70353"/>
    <w:rsid w:val="00A705A2"/>
    <w:rsid w:val="00A70EF0"/>
    <w:rsid w:val="00A72D71"/>
    <w:rsid w:val="00A73D45"/>
    <w:rsid w:val="00A76011"/>
    <w:rsid w:val="00A76419"/>
    <w:rsid w:val="00A766CD"/>
    <w:rsid w:val="00A800D0"/>
    <w:rsid w:val="00A80D3E"/>
    <w:rsid w:val="00A81D19"/>
    <w:rsid w:val="00A82D09"/>
    <w:rsid w:val="00A8352F"/>
    <w:rsid w:val="00A8379D"/>
    <w:rsid w:val="00A83D7F"/>
    <w:rsid w:val="00A84488"/>
    <w:rsid w:val="00A84F1D"/>
    <w:rsid w:val="00A851CE"/>
    <w:rsid w:val="00A865BE"/>
    <w:rsid w:val="00A86F3C"/>
    <w:rsid w:val="00A86F8B"/>
    <w:rsid w:val="00A911D6"/>
    <w:rsid w:val="00A938D8"/>
    <w:rsid w:val="00A93B70"/>
    <w:rsid w:val="00A94063"/>
    <w:rsid w:val="00A94569"/>
    <w:rsid w:val="00A95C50"/>
    <w:rsid w:val="00A966BF"/>
    <w:rsid w:val="00AA1D54"/>
    <w:rsid w:val="00AA1F05"/>
    <w:rsid w:val="00AA3D4D"/>
    <w:rsid w:val="00AA4590"/>
    <w:rsid w:val="00AA50C6"/>
    <w:rsid w:val="00AA55BE"/>
    <w:rsid w:val="00AA6ED2"/>
    <w:rsid w:val="00AA7EDA"/>
    <w:rsid w:val="00AB18D1"/>
    <w:rsid w:val="00AB2073"/>
    <w:rsid w:val="00AB2AE1"/>
    <w:rsid w:val="00AB3AC4"/>
    <w:rsid w:val="00AB4565"/>
    <w:rsid w:val="00AB469C"/>
    <w:rsid w:val="00AB589C"/>
    <w:rsid w:val="00AB634B"/>
    <w:rsid w:val="00AB6884"/>
    <w:rsid w:val="00AB7180"/>
    <w:rsid w:val="00AB7AC8"/>
    <w:rsid w:val="00AC07CE"/>
    <w:rsid w:val="00AC1004"/>
    <w:rsid w:val="00AC11C7"/>
    <w:rsid w:val="00AC12D2"/>
    <w:rsid w:val="00AC18AD"/>
    <w:rsid w:val="00AC2246"/>
    <w:rsid w:val="00AC251F"/>
    <w:rsid w:val="00AC460F"/>
    <w:rsid w:val="00AC4F85"/>
    <w:rsid w:val="00AC5014"/>
    <w:rsid w:val="00AC60B1"/>
    <w:rsid w:val="00AC6365"/>
    <w:rsid w:val="00AD1DBB"/>
    <w:rsid w:val="00AD222F"/>
    <w:rsid w:val="00AD5A91"/>
    <w:rsid w:val="00AD642D"/>
    <w:rsid w:val="00AD6763"/>
    <w:rsid w:val="00AD75DB"/>
    <w:rsid w:val="00AD7676"/>
    <w:rsid w:val="00AD76F1"/>
    <w:rsid w:val="00AD79EE"/>
    <w:rsid w:val="00AD7A95"/>
    <w:rsid w:val="00AE2894"/>
    <w:rsid w:val="00AE2A1A"/>
    <w:rsid w:val="00AE2FD7"/>
    <w:rsid w:val="00AE3787"/>
    <w:rsid w:val="00AE3B8A"/>
    <w:rsid w:val="00AE3CB6"/>
    <w:rsid w:val="00AE4102"/>
    <w:rsid w:val="00AE4838"/>
    <w:rsid w:val="00AE4859"/>
    <w:rsid w:val="00AE4FD0"/>
    <w:rsid w:val="00AE6231"/>
    <w:rsid w:val="00AE6E8F"/>
    <w:rsid w:val="00AE7806"/>
    <w:rsid w:val="00AF0230"/>
    <w:rsid w:val="00AF230C"/>
    <w:rsid w:val="00AF34B3"/>
    <w:rsid w:val="00AF43A7"/>
    <w:rsid w:val="00AF73E7"/>
    <w:rsid w:val="00B00F47"/>
    <w:rsid w:val="00B01184"/>
    <w:rsid w:val="00B02F3C"/>
    <w:rsid w:val="00B04F5E"/>
    <w:rsid w:val="00B056DE"/>
    <w:rsid w:val="00B104A6"/>
    <w:rsid w:val="00B104DD"/>
    <w:rsid w:val="00B122D1"/>
    <w:rsid w:val="00B123A9"/>
    <w:rsid w:val="00B12733"/>
    <w:rsid w:val="00B129BA"/>
    <w:rsid w:val="00B1327B"/>
    <w:rsid w:val="00B13A19"/>
    <w:rsid w:val="00B14539"/>
    <w:rsid w:val="00B17181"/>
    <w:rsid w:val="00B17B69"/>
    <w:rsid w:val="00B21308"/>
    <w:rsid w:val="00B217C7"/>
    <w:rsid w:val="00B27DB7"/>
    <w:rsid w:val="00B31338"/>
    <w:rsid w:val="00B32A76"/>
    <w:rsid w:val="00B3312B"/>
    <w:rsid w:val="00B345E2"/>
    <w:rsid w:val="00B35450"/>
    <w:rsid w:val="00B3646B"/>
    <w:rsid w:val="00B36D66"/>
    <w:rsid w:val="00B36E85"/>
    <w:rsid w:val="00B37842"/>
    <w:rsid w:val="00B37DD8"/>
    <w:rsid w:val="00B37EF5"/>
    <w:rsid w:val="00B3E4D7"/>
    <w:rsid w:val="00B401F1"/>
    <w:rsid w:val="00B417C8"/>
    <w:rsid w:val="00B42095"/>
    <w:rsid w:val="00B4244A"/>
    <w:rsid w:val="00B42FB8"/>
    <w:rsid w:val="00B43815"/>
    <w:rsid w:val="00B4478D"/>
    <w:rsid w:val="00B461AF"/>
    <w:rsid w:val="00B5058D"/>
    <w:rsid w:val="00B52904"/>
    <w:rsid w:val="00B52EFE"/>
    <w:rsid w:val="00B53242"/>
    <w:rsid w:val="00B5405B"/>
    <w:rsid w:val="00B540C1"/>
    <w:rsid w:val="00B543AE"/>
    <w:rsid w:val="00B549D8"/>
    <w:rsid w:val="00B56E1E"/>
    <w:rsid w:val="00B57D8B"/>
    <w:rsid w:val="00B60E88"/>
    <w:rsid w:val="00B637D9"/>
    <w:rsid w:val="00B64854"/>
    <w:rsid w:val="00B65BC2"/>
    <w:rsid w:val="00B660E0"/>
    <w:rsid w:val="00B67016"/>
    <w:rsid w:val="00B67B61"/>
    <w:rsid w:val="00B7055A"/>
    <w:rsid w:val="00B707F3"/>
    <w:rsid w:val="00B70E96"/>
    <w:rsid w:val="00B70FA0"/>
    <w:rsid w:val="00B741D2"/>
    <w:rsid w:val="00B8211D"/>
    <w:rsid w:val="00B824D5"/>
    <w:rsid w:val="00B8342F"/>
    <w:rsid w:val="00B83D09"/>
    <w:rsid w:val="00B84D2A"/>
    <w:rsid w:val="00B86D78"/>
    <w:rsid w:val="00B86E8C"/>
    <w:rsid w:val="00B87B4F"/>
    <w:rsid w:val="00B90B8F"/>
    <w:rsid w:val="00B920F2"/>
    <w:rsid w:val="00B92141"/>
    <w:rsid w:val="00B925D1"/>
    <w:rsid w:val="00B930B0"/>
    <w:rsid w:val="00B93DF5"/>
    <w:rsid w:val="00B948A2"/>
    <w:rsid w:val="00B94A7A"/>
    <w:rsid w:val="00B96D4A"/>
    <w:rsid w:val="00B97264"/>
    <w:rsid w:val="00B97526"/>
    <w:rsid w:val="00B979E2"/>
    <w:rsid w:val="00B97ED4"/>
    <w:rsid w:val="00BA0B6F"/>
    <w:rsid w:val="00BA1D64"/>
    <w:rsid w:val="00BA2ED5"/>
    <w:rsid w:val="00BB0921"/>
    <w:rsid w:val="00BB1575"/>
    <w:rsid w:val="00BB400A"/>
    <w:rsid w:val="00BB5ACC"/>
    <w:rsid w:val="00BB796E"/>
    <w:rsid w:val="00BB7FD8"/>
    <w:rsid w:val="00BC1231"/>
    <w:rsid w:val="00BC1370"/>
    <w:rsid w:val="00BC1A23"/>
    <w:rsid w:val="00BC1ADB"/>
    <w:rsid w:val="00BC4905"/>
    <w:rsid w:val="00BC4F71"/>
    <w:rsid w:val="00BC5097"/>
    <w:rsid w:val="00BC54CD"/>
    <w:rsid w:val="00BC6689"/>
    <w:rsid w:val="00BC6A7C"/>
    <w:rsid w:val="00BC7DB9"/>
    <w:rsid w:val="00BC7FDC"/>
    <w:rsid w:val="00BD0D27"/>
    <w:rsid w:val="00BD10AC"/>
    <w:rsid w:val="00BD123B"/>
    <w:rsid w:val="00BD1DA7"/>
    <w:rsid w:val="00BD1F77"/>
    <w:rsid w:val="00BD38D7"/>
    <w:rsid w:val="00BD4CFD"/>
    <w:rsid w:val="00BD556B"/>
    <w:rsid w:val="00BD6147"/>
    <w:rsid w:val="00BE0854"/>
    <w:rsid w:val="00BE3EEA"/>
    <w:rsid w:val="00BE48E8"/>
    <w:rsid w:val="00BE75DD"/>
    <w:rsid w:val="00BF1F84"/>
    <w:rsid w:val="00BF2202"/>
    <w:rsid w:val="00BF2EDD"/>
    <w:rsid w:val="00BF4007"/>
    <w:rsid w:val="00BF4EAB"/>
    <w:rsid w:val="00BF7AB0"/>
    <w:rsid w:val="00C006BE"/>
    <w:rsid w:val="00C00B0D"/>
    <w:rsid w:val="00C00CD6"/>
    <w:rsid w:val="00C02117"/>
    <w:rsid w:val="00C02664"/>
    <w:rsid w:val="00C0312F"/>
    <w:rsid w:val="00C03FE7"/>
    <w:rsid w:val="00C0592C"/>
    <w:rsid w:val="00C12001"/>
    <w:rsid w:val="00C12D4A"/>
    <w:rsid w:val="00C1364B"/>
    <w:rsid w:val="00C13B81"/>
    <w:rsid w:val="00C14820"/>
    <w:rsid w:val="00C15A24"/>
    <w:rsid w:val="00C15B66"/>
    <w:rsid w:val="00C17363"/>
    <w:rsid w:val="00C201C5"/>
    <w:rsid w:val="00C221EB"/>
    <w:rsid w:val="00C23692"/>
    <w:rsid w:val="00C23B41"/>
    <w:rsid w:val="00C23CC4"/>
    <w:rsid w:val="00C251B3"/>
    <w:rsid w:val="00C26675"/>
    <w:rsid w:val="00C275D7"/>
    <w:rsid w:val="00C314D5"/>
    <w:rsid w:val="00C32357"/>
    <w:rsid w:val="00C323AC"/>
    <w:rsid w:val="00C325DD"/>
    <w:rsid w:val="00C32BFF"/>
    <w:rsid w:val="00C32C5F"/>
    <w:rsid w:val="00C32F2F"/>
    <w:rsid w:val="00C32F6A"/>
    <w:rsid w:val="00C33048"/>
    <w:rsid w:val="00C40D5B"/>
    <w:rsid w:val="00C410A4"/>
    <w:rsid w:val="00C41209"/>
    <w:rsid w:val="00C416F8"/>
    <w:rsid w:val="00C41A0E"/>
    <w:rsid w:val="00C425AB"/>
    <w:rsid w:val="00C44FC7"/>
    <w:rsid w:val="00C4570A"/>
    <w:rsid w:val="00C460FF"/>
    <w:rsid w:val="00C46BE3"/>
    <w:rsid w:val="00C475F9"/>
    <w:rsid w:val="00C51553"/>
    <w:rsid w:val="00C51592"/>
    <w:rsid w:val="00C5203C"/>
    <w:rsid w:val="00C521BA"/>
    <w:rsid w:val="00C52452"/>
    <w:rsid w:val="00C53820"/>
    <w:rsid w:val="00C53AFB"/>
    <w:rsid w:val="00C554D9"/>
    <w:rsid w:val="00C55E92"/>
    <w:rsid w:val="00C56BF6"/>
    <w:rsid w:val="00C60023"/>
    <w:rsid w:val="00C60581"/>
    <w:rsid w:val="00C60725"/>
    <w:rsid w:val="00C60FF5"/>
    <w:rsid w:val="00C61664"/>
    <w:rsid w:val="00C61E91"/>
    <w:rsid w:val="00C628C3"/>
    <w:rsid w:val="00C6621C"/>
    <w:rsid w:val="00C663BA"/>
    <w:rsid w:val="00C67436"/>
    <w:rsid w:val="00C7035A"/>
    <w:rsid w:val="00C70452"/>
    <w:rsid w:val="00C708CB"/>
    <w:rsid w:val="00C70FEB"/>
    <w:rsid w:val="00C74E51"/>
    <w:rsid w:val="00C7595D"/>
    <w:rsid w:val="00C807A5"/>
    <w:rsid w:val="00C817F6"/>
    <w:rsid w:val="00C81886"/>
    <w:rsid w:val="00C81FC3"/>
    <w:rsid w:val="00C82151"/>
    <w:rsid w:val="00C8279F"/>
    <w:rsid w:val="00C829EE"/>
    <w:rsid w:val="00C833E9"/>
    <w:rsid w:val="00C841FD"/>
    <w:rsid w:val="00C87DCA"/>
    <w:rsid w:val="00C9041E"/>
    <w:rsid w:val="00C90553"/>
    <w:rsid w:val="00C91706"/>
    <w:rsid w:val="00C922AE"/>
    <w:rsid w:val="00C92932"/>
    <w:rsid w:val="00C94626"/>
    <w:rsid w:val="00C95810"/>
    <w:rsid w:val="00C96395"/>
    <w:rsid w:val="00C973C1"/>
    <w:rsid w:val="00C97527"/>
    <w:rsid w:val="00CA13DB"/>
    <w:rsid w:val="00CA155E"/>
    <w:rsid w:val="00CA1D63"/>
    <w:rsid w:val="00CA1F22"/>
    <w:rsid w:val="00CA2652"/>
    <w:rsid w:val="00CA27B4"/>
    <w:rsid w:val="00CA282C"/>
    <w:rsid w:val="00CA4420"/>
    <w:rsid w:val="00CA5C8C"/>
    <w:rsid w:val="00CA5E14"/>
    <w:rsid w:val="00CA70FD"/>
    <w:rsid w:val="00CB0ECC"/>
    <w:rsid w:val="00CB28B0"/>
    <w:rsid w:val="00CB3BDA"/>
    <w:rsid w:val="00CB5CFF"/>
    <w:rsid w:val="00CB695A"/>
    <w:rsid w:val="00CB6A96"/>
    <w:rsid w:val="00CB6BD9"/>
    <w:rsid w:val="00CB7261"/>
    <w:rsid w:val="00CB776A"/>
    <w:rsid w:val="00CB788A"/>
    <w:rsid w:val="00CC0274"/>
    <w:rsid w:val="00CC2BCE"/>
    <w:rsid w:val="00CC4C70"/>
    <w:rsid w:val="00CC4F1B"/>
    <w:rsid w:val="00CC58ED"/>
    <w:rsid w:val="00CC5D90"/>
    <w:rsid w:val="00CC7EE0"/>
    <w:rsid w:val="00CD1457"/>
    <w:rsid w:val="00CD2709"/>
    <w:rsid w:val="00CD6AFD"/>
    <w:rsid w:val="00CD6DDC"/>
    <w:rsid w:val="00CD76AF"/>
    <w:rsid w:val="00CE0FA8"/>
    <w:rsid w:val="00CE1F1D"/>
    <w:rsid w:val="00CE37CD"/>
    <w:rsid w:val="00CE3C56"/>
    <w:rsid w:val="00CE478F"/>
    <w:rsid w:val="00CE4987"/>
    <w:rsid w:val="00CE49EF"/>
    <w:rsid w:val="00CE4FF4"/>
    <w:rsid w:val="00CE7AC1"/>
    <w:rsid w:val="00CE7FE7"/>
    <w:rsid w:val="00CF1D26"/>
    <w:rsid w:val="00CF309F"/>
    <w:rsid w:val="00CF3B1D"/>
    <w:rsid w:val="00CF3D38"/>
    <w:rsid w:val="00CF4E9B"/>
    <w:rsid w:val="00CF5064"/>
    <w:rsid w:val="00CF72A8"/>
    <w:rsid w:val="00D00344"/>
    <w:rsid w:val="00D012F1"/>
    <w:rsid w:val="00D02047"/>
    <w:rsid w:val="00D03F95"/>
    <w:rsid w:val="00D0487D"/>
    <w:rsid w:val="00D054F7"/>
    <w:rsid w:val="00D0650D"/>
    <w:rsid w:val="00D068F7"/>
    <w:rsid w:val="00D0690F"/>
    <w:rsid w:val="00D06E79"/>
    <w:rsid w:val="00D071C5"/>
    <w:rsid w:val="00D1092B"/>
    <w:rsid w:val="00D10D8D"/>
    <w:rsid w:val="00D1131D"/>
    <w:rsid w:val="00D11D75"/>
    <w:rsid w:val="00D1223C"/>
    <w:rsid w:val="00D13437"/>
    <w:rsid w:val="00D135A0"/>
    <w:rsid w:val="00D13B19"/>
    <w:rsid w:val="00D13B79"/>
    <w:rsid w:val="00D140DB"/>
    <w:rsid w:val="00D14541"/>
    <w:rsid w:val="00D156FF"/>
    <w:rsid w:val="00D20309"/>
    <w:rsid w:val="00D218AE"/>
    <w:rsid w:val="00D238AB"/>
    <w:rsid w:val="00D251C2"/>
    <w:rsid w:val="00D25A35"/>
    <w:rsid w:val="00D25ADB"/>
    <w:rsid w:val="00D268BD"/>
    <w:rsid w:val="00D26B50"/>
    <w:rsid w:val="00D270A0"/>
    <w:rsid w:val="00D30813"/>
    <w:rsid w:val="00D3183A"/>
    <w:rsid w:val="00D332CD"/>
    <w:rsid w:val="00D34324"/>
    <w:rsid w:val="00D402F4"/>
    <w:rsid w:val="00D40610"/>
    <w:rsid w:val="00D425A4"/>
    <w:rsid w:val="00D438DB"/>
    <w:rsid w:val="00D43D6F"/>
    <w:rsid w:val="00D43F7C"/>
    <w:rsid w:val="00D44E77"/>
    <w:rsid w:val="00D45324"/>
    <w:rsid w:val="00D45BE6"/>
    <w:rsid w:val="00D4603C"/>
    <w:rsid w:val="00D464F4"/>
    <w:rsid w:val="00D46713"/>
    <w:rsid w:val="00D469E6"/>
    <w:rsid w:val="00D46A68"/>
    <w:rsid w:val="00D47DF4"/>
    <w:rsid w:val="00D50934"/>
    <w:rsid w:val="00D50E96"/>
    <w:rsid w:val="00D51C6C"/>
    <w:rsid w:val="00D5479D"/>
    <w:rsid w:val="00D558A0"/>
    <w:rsid w:val="00D55F58"/>
    <w:rsid w:val="00D56927"/>
    <w:rsid w:val="00D57110"/>
    <w:rsid w:val="00D575A6"/>
    <w:rsid w:val="00D57FF2"/>
    <w:rsid w:val="00D607ED"/>
    <w:rsid w:val="00D613CD"/>
    <w:rsid w:val="00D6178F"/>
    <w:rsid w:val="00D6204E"/>
    <w:rsid w:val="00D626FE"/>
    <w:rsid w:val="00D65B94"/>
    <w:rsid w:val="00D66123"/>
    <w:rsid w:val="00D66487"/>
    <w:rsid w:val="00D66F80"/>
    <w:rsid w:val="00D711D2"/>
    <w:rsid w:val="00D7164A"/>
    <w:rsid w:val="00D729B5"/>
    <w:rsid w:val="00D743EB"/>
    <w:rsid w:val="00D74AD2"/>
    <w:rsid w:val="00D76678"/>
    <w:rsid w:val="00D76C06"/>
    <w:rsid w:val="00D80A1F"/>
    <w:rsid w:val="00D8369A"/>
    <w:rsid w:val="00D84F44"/>
    <w:rsid w:val="00D85662"/>
    <w:rsid w:val="00D87C8A"/>
    <w:rsid w:val="00D91719"/>
    <w:rsid w:val="00D92508"/>
    <w:rsid w:val="00D92CD8"/>
    <w:rsid w:val="00D93EB3"/>
    <w:rsid w:val="00D94430"/>
    <w:rsid w:val="00D94903"/>
    <w:rsid w:val="00D95873"/>
    <w:rsid w:val="00D95B69"/>
    <w:rsid w:val="00D962E2"/>
    <w:rsid w:val="00D9660A"/>
    <w:rsid w:val="00DA0316"/>
    <w:rsid w:val="00DA210B"/>
    <w:rsid w:val="00DA3AB7"/>
    <w:rsid w:val="00DA435A"/>
    <w:rsid w:val="00DA4B20"/>
    <w:rsid w:val="00DA5190"/>
    <w:rsid w:val="00DA58E5"/>
    <w:rsid w:val="00DA7274"/>
    <w:rsid w:val="00DB0113"/>
    <w:rsid w:val="00DB1337"/>
    <w:rsid w:val="00DB20D0"/>
    <w:rsid w:val="00DB23F4"/>
    <w:rsid w:val="00DB27CC"/>
    <w:rsid w:val="00DB2D61"/>
    <w:rsid w:val="00DB35FB"/>
    <w:rsid w:val="00DB3886"/>
    <w:rsid w:val="00DB56AE"/>
    <w:rsid w:val="00DB6A03"/>
    <w:rsid w:val="00DB7710"/>
    <w:rsid w:val="00DB7BE8"/>
    <w:rsid w:val="00DC205F"/>
    <w:rsid w:val="00DC238A"/>
    <w:rsid w:val="00DC2628"/>
    <w:rsid w:val="00DC543E"/>
    <w:rsid w:val="00DC674A"/>
    <w:rsid w:val="00DC6E6F"/>
    <w:rsid w:val="00DD0B29"/>
    <w:rsid w:val="00DD1841"/>
    <w:rsid w:val="00DD1BCD"/>
    <w:rsid w:val="00DD212C"/>
    <w:rsid w:val="00DD2316"/>
    <w:rsid w:val="00DD2710"/>
    <w:rsid w:val="00DD3B03"/>
    <w:rsid w:val="00DD3C1A"/>
    <w:rsid w:val="00DD4247"/>
    <w:rsid w:val="00DD4B1E"/>
    <w:rsid w:val="00DD5800"/>
    <w:rsid w:val="00DD6A0C"/>
    <w:rsid w:val="00DD6C01"/>
    <w:rsid w:val="00DD7990"/>
    <w:rsid w:val="00DE0430"/>
    <w:rsid w:val="00DE1590"/>
    <w:rsid w:val="00DE1718"/>
    <w:rsid w:val="00DE3107"/>
    <w:rsid w:val="00DE361A"/>
    <w:rsid w:val="00DE368E"/>
    <w:rsid w:val="00DE3E1E"/>
    <w:rsid w:val="00DE542B"/>
    <w:rsid w:val="00DE571B"/>
    <w:rsid w:val="00DE6C24"/>
    <w:rsid w:val="00DF0C56"/>
    <w:rsid w:val="00DF2319"/>
    <w:rsid w:val="00DF39D8"/>
    <w:rsid w:val="00DF4FDB"/>
    <w:rsid w:val="00DF610B"/>
    <w:rsid w:val="00DF6C23"/>
    <w:rsid w:val="00E01B9B"/>
    <w:rsid w:val="00E01D40"/>
    <w:rsid w:val="00E02129"/>
    <w:rsid w:val="00E0229D"/>
    <w:rsid w:val="00E034AE"/>
    <w:rsid w:val="00E04206"/>
    <w:rsid w:val="00E0499F"/>
    <w:rsid w:val="00E04AC6"/>
    <w:rsid w:val="00E06532"/>
    <w:rsid w:val="00E11414"/>
    <w:rsid w:val="00E13E3C"/>
    <w:rsid w:val="00E155DB"/>
    <w:rsid w:val="00E1569D"/>
    <w:rsid w:val="00E159CB"/>
    <w:rsid w:val="00E16DA6"/>
    <w:rsid w:val="00E20F19"/>
    <w:rsid w:val="00E21226"/>
    <w:rsid w:val="00E21F3A"/>
    <w:rsid w:val="00E21FE1"/>
    <w:rsid w:val="00E22101"/>
    <w:rsid w:val="00E2452E"/>
    <w:rsid w:val="00E245DA"/>
    <w:rsid w:val="00E26404"/>
    <w:rsid w:val="00E27842"/>
    <w:rsid w:val="00E27D4B"/>
    <w:rsid w:val="00E27D61"/>
    <w:rsid w:val="00E3030F"/>
    <w:rsid w:val="00E30A3A"/>
    <w:rsid w:val="00E310B5"/>
    <w:rsid w:val="00E32F5D"/>
    <w:rsid w:val="00E33FB5"/>
    <w:rsid w:val="00E34437"/>
    <w:rsid w:val="00E3645C"/>
    <w:rsid w:val="00E36476"/>
    <w:rsid w:val="00E36C28"/>
    <w:rsid w:val="00E37B97"/>
    <w:rsid w:val="00E4095F"/>
    <w:rsid w:val="00E40C4D"/>
    <w:rsid w:val="00E41C77"/>
    <w:rsid w:val="00E4245D"/>
    <w:rsid w:val="00E424BF"/>
    <w:rsid w:val="00E425D6"/>
    <w:rsid w:val="00E426A7"/>
    <w:rsid w:val="00E4293C"/>
    <w:rsid w:val="00E438F6"/>
    <w:rsid w:val="00E440EE"/>
    <w:rsid w:val="00E44919"/>
    <w:rsid w:val="00E449E9"/>
    <w:rsid w:val="00E461CD"/>
    <w:rsid w:val="00E46964"/>
    <w:rsid w:val="00E476F1"/>
    <w:rsid w:val="00E507E7"/>
    <w:rsid w:val="00E50E1D"/>
    <w:rsid w:val="00E5168F"/>
    <w:rsid w:val="00E51A5D"/>
    <w:rsid w:val="00E51ED3"/>
    <w:rsid w:val="00E547FC"/>
    <w:rsid w:val="00E55103"/>
    <w:rsid w:val="00E5541B"/>
    <w:rsid w:val="00E55474"/>
    <w:rsid w:val="00E56538"/>
    <w:rsid w:val="00E571D4"/>
    <w:rsid w:val="00E57919"/>
    <w:rsid w:val="00E57E22"/>
    <w:rsid w:val="00E60D55"/>
    <w:rsid w:val="00E626EE"/>
    <w:rsid w:val="00E62C63"/>
    <w:rsid w:val="00E63EC9"/>
    <w:rsid w:val="00E64E05"/>
    <w:rsid w:val="00E65290"/>
    <w:rsid w:val="00E65B1D"/>
    <w:rsid w:val="00E662B6"/>
    <w:rsid w:val="00E66E6E"/>
    <w:rsid w:val="00E7599C"/>
    <w:rsid w:val="00E75E8A"/>
    <w:rsid w:val="00E76197"/>
    <w:rsid w:val="00E779D1"/>
    <w:rsid w:val="00E77B39"/>
    <w:rsid w:val="00E817C5"/>
    <w:rsid w:val="00E836F3"/>
    <w:rsid w:val="00E85BC7"/>
    <w:rsid w:val="00E85D62"/>
    <w:rsid w:val="00E85EEB"/>
    <w:rsid w:val="00E86243"/>
    <w:rsid w:val="00E86AA0"/>
    <w:rsid w:val="00E86B85"/>
    <w:rsid w:val="00E87209"/>
    <w:rsid w:val="00E916C6"/>
    <w:rsid w:val="00E92AAC"/>
    <w:rsid w:val="00E92C14"/>
    <w:rsid w:val="00E93ED5"/>
    <w:rsid w:val="00E95977"/>
    <w:rsid w:val="00E95E6C"/>
    <w:rsid w:val="00EA0009"/>
    <w:rsid w:val="00EA0022"/>
    <w:rsid w:val="00EA014B"/>
    <w:rsid w:val="00EA070B"/>
    <w:rsid w:val="00EA097A"/>
    <w:rsid w:val="00EA0A39"/>
    <w:rsid w:val="00EA0E21"/>
    <w:rsid w:val="00EA16F8"/>
    <w:rsid w:val="00EA2A17"/>
    <w:rsid w:val="00EA2AAF"/>
    <w:rsid w:val="00EA391C"/>
    <w:rsid w:val="00EA3E50"/>
    <w:rsid w:val="00EA503C"/>
    <w:rsid w:val="00EA5166"/>
    <w:rsid w:val="00EA649F"/>
    <w:rsid w:val="00EB19E1"/>
    <w:rsid w:val="00EB1CC9"/>
    <w:rsid w:val="00EB28B1"/>
    <w:rsid w:val="00EB36E2"/>
    <w:rsid w:val="00EB3B98"/>
    <w:rsid w:val="00EB55A7"/>
    <w:rsid w:val="00EB5A4B"/>
    <w:rsid w:val="00EB5BD6"/>
    <w:rsid w:val="00EC3F8E"/>
    <w:rsid w:val="00EC42A0"/>
    <w:rsid w:val="00EC5497"/>
    <w:rsid w:val="00EC59D9"/>
    <w:rsid w:val="00EC6B25"/>
    <w:rsid w:val="00ED066B"/>
    <w:rsid w:val="00ED0F9A"/>
    <w:rsid w:val="00ED11FF"/>
    <w:rsid w:val="00ED2784"/>
    <w:rsid w:val="00ED2D2E"/>
    <w:rsid w:val="00ED3152"/>
    <w:rsid w:val="00ED402E"/>
    <w:rsid w:val="00ED4A3A"/>
    <w:rsid w:val="00ED4B90"/>
    <w:rsid w:val="00ED574F"/>
    <w:rsid w:val="00ED5CF0"/>
    <w:rsid w:val="00ED6260"/>
    <w:rsid w:val="00ED674B"/>
    <w:rsid w:val="00EE0717"/>
    <w:rsid w:val="00EE2847"/>
    <w:rsid w:val="00EE4B80"/>
    <w:rsid w:val="00EE661E"/>
    <w:rsid w:val="00EF0A76"/>
    <w:rsid w:val="00EF1B6E"/>
    <w:rsid w:val="00EF28E3"/>
    <w:rsid w:val="00EF4A01"/>
    <w:rsid w:val="00EF6699"/>
    <w:rsid w:val="00EF6F69"/>
    <w:rsid w:val="00F00CCD"/>
    <w:rsid w:val="00F02547"/>
    <w:rsid w:val="00F039E1"/>
    <w:rsid w:val="00F07E8B"/>
    <w:rsid w:val="00F11313"/>
    <w:rsid w:val="00F11A95"/>
    <w:rsid w:val="00F11EAE"/>
    <w:rsid w:val="00F12BE8"/>
    <w:rsid w:val="00F137F4"/>
    <w:rsid w:val="00F13BE3"/>
    <w:rsid w:val="00F140E7"/>
    <w:rsid w:val="00F14BF3"/>
    <w:rsid w:val="00F16F54"/>
    <w:rsid w:val="00F213E4"/>
    <w:rsid w:val="00F2222F"/>
    <w:rsid w:val="00F23137"/>
    <w:rsid w:val="00F2346E"/>
    <w:rsid w:val="00F23645"/>
    <w:rsid w:val="00F2366E"/>
    <w:rsid w:val="00F24009"/>
    <w:rsid w:val="00F2412D"/>
    <w:rsid w:val="00F2419F"/>
    <w:rsid w:val="00F24451"/>
    <w:rsid w:val="00F27BCA"/>
    <w:rsid w:val="00F30ACD"/>
    <w:rsid w:val="00F3133C"/>
    <w:rsid w:val="00F31C35"/>
    <w:rsid w:val="00F35702"/>
    <w:rsid w:val="00F358CE"/>
    <w:rsid w:val="00F36AB3"/>
    <w:rsid w:val="00F434EA"/>
    <w:rsid w:val="00F4459E"/>
    <w:rsid w:val="00F44B2C"/>
    <w:rsid w:val="00F4551D"/>
    <w:rsid w:val="00F45C1A"/>
    <w:rsid w:val="00F479DF"/>
    <w:rsid w:val="00F523FF"/>
    <w:rsid w:val="00F5372B"/>
    <w:rsid w:val="00F547F6"/>
    <w:rsid w:val="00F54943"/>
    <w:rsid w:val="00F54EE6"/>
    <w:rsid w:val="00F55A49"/>
    <w:rsid w:val="00F55E9B"/>
    <w:rsid w:val="00F56415"/>
    <w:rsid w:val="00F56946"/>
    <w:rsid w:val="00F5732B"/>
    <w:rsid w:val="00F63C8F"/>
    <w:rsid w:val="00F655DF"/>
    <w:rsid w:val="00F6599F"/>
    <w:rsid w:val="00F67D19"/>
    <w:rsid w:val="00F71C09"/>
    <w:rsid w:val="00F727CE"/>
    <w:rsid w:val="00F73909"/>
    <w:rsid w:val="00F73E27"/>
    <w:rsid w:val="00F73F35"/>
    <w:rsid w:val="00F74078"/>
    <w:rsid w:val="00F74390"/>
    <w:rsid w:val="00F7713A"/>
    <w:rsid w:val="00F80B6F"/>
    <w:rsid w:val="00F8360B"/>
    <w:rsid w:val="00F83830"/>
    <w:rsid w:val="00F8434F"/>
    <w:rsid w:val="00F855E9"/>
    <w:rsid w:val="00F908E1"/>
    <w:rsid w:val="00F90EC7"/>
    <w:rsid w:val="00F9133D"/>
    <w:rsid w:val="00F9190D"/>
    <w:rsid w:val="00F92B74"/>
    <w:rsid w:val="00F9593F"/>
    <w:rsid w:val="00F95AEE"/>
    <w:rsid w:val="00F97A1C"/>
    <w:rsid w:val="00FA16EB"/>
    <w:rsid w:val="00FA17CC"/>
    <w:rsid w:val="00FA1CA5"/>
    <w:rsid w:val="00FA2207"/>
    <w:rsid w:val="00FA3012"/>
    <w:rsid w:val="00FA4823"/>
    <w:rsid w:val="00FA482D"/>
    <w:rsid w:val="00FA484C"/>
    <w:rsid w:val="00FA493A"/>
    <w:rsid w:val="00FA4CE2"/>
    <w:rsid w:val="00FA5A2E"/>
    <w:rsid w:val="00FA5AC7"/>
    <w:rsid w:val="00FA5B47"/>
    <w:rsid w:val="00FA7C93"/>
    <w:rsid w:val="00FA7C9F"/>
    <w:rsid w:val="00FB1B7F"/>
    <w:rsid w:val="00FB1E50"/>
    <w:rsid w:val="00FB263D"/>
    <w:rsid w:val="00FB2907"/>
    <w:rsid w:val="00FB3123"/>
    <w:rsid w:val="00FB3466"/>
    <w:rsid w:val="00FB443F"/>
    <w:rsid w:val="00FB455F"/>
    <w:rsid w:val="00FB4B0E"/>
    <w:rsid w:val="00FB4B6F"/>
    <w:rsid w:val="00FB5C7D"/>
    <w:rsid w:val="00FC0393"/>
    <w:rsid w:val="00FC1366"/>
    <w:rsid w:val="00FC2440"/>
    <w:rsid w:val="00FC284C"/>
    <w:rsid w:val="00FC2F6C"/>
    <w:rsid w:val="00FC389F"/>
    <w:rsid w:val="00FC4581"/>
    <w:rsid w:val="00FC6BA4"/>
    <w:rsid w:val="00FD0FA7"/>
    <w:rsid w:val="00FD102B"/>
    <w:rsid w:val="00FD1484"/>
    <w:rsid w:val="00FD1554"/>
    <w:rsid w:val="00FD1A1C"/>
    <w:rsid w:val="00FD1D8D"/>
    <w:rsid w:val="00FD248A"/>
    <w:rsid w:val="00FD2494"/>
    <w:rsid w:val="00FD3645"/>
    <w:rsid w:val="00FD36D8"/>
    <w:rsid w:val="00FD55F1"/>
    <w:rsid w:val="00FD668B"/>
    <w:rsid w:val="00FD6B93"/>
    <w:rsid w:val="00FD74BA"/>
    <w:rsid w:val="00FE3A92"/>
    <w:rsid w:val="00FE498D"/>
    <w:rsid w:val="00FE5083"/>
    <w:rsid w:val="00FF041A"/>
    <w:rsid w:val="00FF10BD"/>
    <w:rsid w:val="00FF12CD"/>
    <w:rsid w:val="00FF2235"/>
    <w:rsid w:val="00FF47B1"/>
    <w:rsid w:val="00FF4E80"/>
    <w:rsid w:val="00FF6EA5"/>
    <w:rsid w:val="0144EBF7"/>
    <w:rsid w:val="0160D543"/>
    <w:rsid w:val="0162B9B5"/>
    <w:rsid w:val="018C20C9"/>
    <w:rsid w:val="01E5D16E"/>
    <w:rsid w:val="021BEA38"/>
    <w:rsid w:val="02336576"/>
    <w:rsid w:val="024E560A"/>
    <w:rsid w:val="027C3E63"/>
    <w:rsid w:val="0292E5BF"/>
    <w:rsid w:val="029D8BD1"/>
    <w:rsid w:val="02EBA069"/>
    <w:rsid w:val="0303CE16"/>
    <w:rsid w:val="0374D89B"/>
    <w:rsid w:val="040DA0FD"/>
    <w:rsid w:val="0429C6CB"/>
    <w:rsid w:val="046C3703"/>
    <w:rsid w:val="048FBB14"/>
    <w:rsid w:val="04E9F79E"/>
    <w:rsid w:val="050E0C76"/>
    <w:rsid w:val="0540EA50"/>
    <w:rsid w:val="05C9A708"/>
    <w:rsid w:val="0606926D"/>
    <w:rsid w:val="060A0CA7"/>
    <w:rsid w:val="0616FC54"/>
    <w:rsid w:val="061F02F5"/>
    <w:rsid w:val="0656B17C"/>
    <w:rsid w:val="0670AF7B"/>
    <w:rsid w:val="06E7CD2F"/>
    <w:rsid w:val="06F10075"/>
    <w:rsid w:val="074978F1"/>
    <w:rsid w:val="07710AF1"/>
    <w:rsid w:val="07A01955"/>
    <w:rsid w:val="08254C6E"/>
    <w:rsid w:val="082BD32E"/>
    <w:rsid w:val="0850007C"/>
    <w:rsid w:val="08A057A1"/>
    <w:rsid w:val="08AFAF5E"/>
    <w:rsid w:val="08C2EC38"/>
    <w:rsid w:val="08DDAC68"/>
    <w:rsid w:val="08E521BF"/>
    <w:rsid w:val="08FBA457"/>
    <w:rsid w:val="095F7C46"/>
    <w:rsid w:val="09CAA729"/>
    <w:rsid w:val="09F7DE3D"/>
    <w:rsid w:val="0A02390F"/>
    <w:rsid w:val="0A27B096"/>
    <w:rsid w:val="0A2C52AA"/>
    <w:rsid w:val="0A47362F"/>
    <w:rsid w:val="0A58330A"/>
    <w:rsid w:val="0A8A5932"/>
    <w:rsid w:val="0ABAA7B9"/>
    <w:rsid w:val="0AF6FDAA"/>
    <w:rsid w:val="0B3E9C0B"/>
    <w:rsid w:val="0B6C5707"/>
    <w:rsid w:val="0BA3467D"/>
    <w:rsid w:val="0BA5534E"/>
    <w:rsid w:val="0BB57BDB"/>
    <w:rsid w:val="0BB8DBB9"/>
    <w:rsid w:val="0BC031C7"/>
    <w:rsid w:val="0BDAA2FD"/>
    <w:rsid w:val="0C576DBE"/>
    <w:rsid w:val="0C5B0526"/>
    <w:rsid w:val="0C90EB52"/>
    <w:rsid w:val="0CA7EF1B"/>
    <w:rsid w:val="0CDB194B"/>
    <w:rsid w:val="0D265906"/>
    <w:rsid w:val="0D3B1F16"/>
    <w:rsid w:val="0D4600BF"/>
    <w:rsid w:val="0D7154C1"/>
    <w:rsid w:val="0DA1BC86"/>
    <w:rsid w:val="0DBC00CA"/>
    <w:rsid w:val="0DCC9825"/>
    <w:rsid w:val="0E075A81"/>
    <w:rsid w:val="0E22A5B1"/>
    <w:rsid w:val="0E23B56D"/>
    <w:rsid w:val="0EABA208"/>
    <w:rsid w:val="0EBEE7D6"/>
    <w:rsid w:val="0ED893F7"/>
    <w:rsid w:val="0EE68062"/>
    <w:rsid w:val="0F2C1F3F"/>
    <w:rsid w:val="0F599CEF"/>
    <w:rsid w:val="0F8507B9"/>
    <w:rsid w:val="0F86F0C6"/>
    <w:rsid w:val="1002FC6B"/>
    <w:rsid w:val="100D786B"/>
    <w:rsid w:val="1043B06C"/>
    <w:rsid w:val="107334CB"/>
    <w:rsid w:val="108DCF28"/>
    <w:rsid w:val="10EBE86F"/>
    <w:rsid w:val="1117201C"/>
    <w:rsid w:val="1155BD84"/>
    <w:rsid w:val="11629EBF"/>
    <w:rsid w:val="118AC39A"/>
    <w:rsid w:val="11B530D2"/>
    <w:rsid w:val="11D71CC5"/>
    <w:rsid w:val="11F5D852"/>
    <w:rsid w:val="1254F9D2"/>
    <w:rsid w:val="1258B049"/>
    <w:rsid w:val="126F2331"/>
    <w:rsid w:val="12723851"/>
    <w:rsid w:val="12837EBB"/>
    <w:rsid w:val="128528FA"/>
    <w:rsid w:val="1286288F"/>
    <w:rsid w:val="12A642A5"/>
    <w:rsid w:val="12C28299"/>
    <w:rsid w:val="12D564F6"/>
    <w:rsid w:val="1317169F"/>
    <w:rsid w:val="1330E3E6"/>
    <w:rsid w:val="1348E403"/>
    <w:rsid w:val="139883A2"/>
    <w:rsid w:val="13C8CDDF"/>
    <w:rsid w:val="13E89EA7"/>
    <w:rsid w:val="1416E049"/>
    <w:rsid w:val="1450F0F8"/>
    <w:rsid w:val="1488F7DB"/>
    <w:rsid w:val="14B204BA"/>
    <w:rsid w:val="14F66875"/>
    <w:rsid w:val="14F98B86"/>
    <w:rsid w:val="14FAE02D"/>
    <w:rsid w:val="150A90B1"/>
    <w:rsid w:val="152FDC75"/>
    <w:rsid w:val="1552785D"/>
    <w:rsid w:val="1555784D"/>
    <w:rsid w:val="156A83D8"/>
    <w:rsid w:val="15A4A5DA"/>
    <w:rsid w:val="15B97707"/>
    <w:rsid w:val="15FCFD5B"/>
    <w:rsid w:val="1603333D"/>
    <w:rsid w:val="166EEA2A"/>
    <w:rsid w:val="167FE73C"/>
    <w:rsid w:val="168A7E21"/>
    <w:rsid w:val="16B01065"/>
    <w:rsid w:val="16C75E8D"/>
    <w:rsid w:val="16CB145A"/>
    <w:rsid w:val="17340B8E"/>
    <w:rsid w:val="1734A0B4"/>
    <w:rsid w:val="174104DA"/>
    <w:rsid w:val="17488226"/>
    <w:rsid w:val="175CB7D5"/>
    <w:rsid w:val="17A9302D"/>
    <w:rsid w:val="17C9A944"/>
    <w:rsid w:val="17F92803"/>
    <w:rsid w:val="180E4C15"/>
    <w:rsid w:val="188019B2"/>
    <w:rsid w:val="189217B8"/>
    <w:rsid w:val="18F4DD24"/>
    <w:rsid w:val="18F6AC1C"/>
    <w:rsid w:val="193C3F22"/>
    <w:rsid w:val="194C83B9"/>
    <w:rsid w:val="1965058A"/>
    <w:rsid w:val="1965BCFF"/>
    <w:rsid w:val="199E8C53"/>
    <w:rsid w:val="19C0A92E"/>
    <w:rsid w:val="19E54F89"/>
    <w:rsid w:val="1AC2A5CC"/>
    <w:rsid w:val="1AC65C38"/>
    <w:rsid w:val="1AEA1F3B"/>
    <w:rsid w:val="1B1AFA67"/>
    <w:rsid w:val="1B1B478C"/>
    <w:rsid w:val="1B2A2894"/>
    <w:rsid w:val="1B34CD0E"/>
    <w:rsid w:val="1B5CAC60"/>
    <w:rsid w:val="1B612328"/>
    <w:rsid w:val="1B777C48"/>
    <w:rsid w:val="1B83AFE0"/>
    <w:rsid w:val="1B9E37B7"/>
    <w:rsid w:val="1C0192FC"/>
    <w:rsid w:val="1C1BFF79"/>
    <w:rsid w:val="1C6A74F2"/>
    <w:rsid w:val="1C8B2533"/>
    <w:rsid w:val="1CADE123"/>
    <w:rsid w:val="1CC6C33E"/>
    <w:rsid w:val="1CD46DE5"/>
    <w:rsid w:val="1CDBD1EB"/>
    <w:rsid w:val="1CEC060B"/>
    <w:rsid w:val="1D01E1AB"/>
    <w:rsid w:val="1D1F0C46"/>
    <w:rsid w:val="1D3EDDD2"/>
    <w:rsid w:val="1D5BDD3C"/>
    <w:rsid w:val="1D5F5D79"/>
    <w:rsid w:val="1D86E167"/>
    <w:rsid w:val="1DA5CE20"/>
    <w:rsid w:val="1DC31F64"/>
    <w:rsid w:val="1DF06D99"/>
    <w:rsid w:val="1E1BCBB0"/>
    <w:rsid w:val="1EEBB8CD"/>
    <w:rsid w:val="1EEDAF72"/>
    <w:rsid w:val="1F5C3F4C"/>
    <w:rsid w:val="1F664176"/>
    <w:rsid w:val="1FAC22A9"/>
    <w:rsid w:val="1FBC7931"/>
    <w:rsid w:val="1FD4FE27"/>
    <w:rsid w:val="1FD8439C"/>
    <w:rsid w:val="1FF01075"/>
    <w:rsid w:val="20011A86"/>
    <w:rsid w:val="200A5B19"/>
    <w:rsid w:val="201730E4"/>
    <w:rsid w:val="201EB937"/>
    <w:rsid w:val="204C4FC9"/>
    <w:rsid w:val="2064384D"/>
    <w:rsid w:val="206FD5AC"/>
    <w:rsid w:val="20960175"/>
    <w:rsid w:val="20A98E04"/>
    <w:rsid w:val="20D93B0D"/>
    <w:rsid w:val="2124E72D"/>
    <w:rsid w:val="2169093B"/>
    <w:rsid w:val="219A28CE"/>
    <w:rsid w:val="21AF9285"/>
    <w:rsid w:val="21FD23A2"/>
    <w:rsid w:val="21FFF0C1"/>
    <w:rsid w:val="2206A682"/>
    <w:rsid w:val="22071E2B"/>
    <w:rsid w:val="220E605A"/>
    <w:rsid w:val="224C459C"/>
    <w:rsid w:val="2252E075"/>
    <w:rsid w:val="227B2E66"/>
    <w:rsid w:val="2329C547"/>
    <w:rsid w:val="234F218C"/>
    <w:rsid w:val="23966D26"/>
    <w:rsid w:val="23ACF4E5"/>
    <w:rsid w:val="23E33334"/>
    <w:rsid w:val="23EF6C0B"/>
    <w:rsid w:val="2421117E"/>
    <w:rsid w:val="242ACE6C"/>
    <w:rsid w:val="245136CD"/>
    <w:rsid w:val="24863F7C"/>
    <w:rsid w:val="2499A39F"/>
    <w:rsid w:val="24A31BD1"/>
    <w:rsid w:val="24B382C2"/>
    <w:rsid w:val="24E18893"/>
    <w:rsid w:val="2524F4EB"/>
    <w:rsid w:val="252C5C0C"/>
    <w:rsid w:val="255B72B5"/>
    <w:rsid w:val="255CB748"/>
    <w:rsid w:val="2591B4B0"/>
    <w:rsid w:val="25B23504"/>
    <w:rsid w:val="264B2D01"/>
    <w:rsid w:val="26643CD9"/>
    <w:rsid w:val="2668616E"/>
    <w:rsid w:val="26869B10"/>
    <w:rsid w:val="26B95267"/>
    <w:rsid w:val="26D7B802"/>
    <w:rsid w:val="26D9A661"/>
    <w:rsid w:val="26E850C9"/>
    <w:rsid w:val="275D4AAA"/>
    <w:rsid w:val="279BFC36"/>
    <w:rsid w:val="288AEA58"/>
    <w:rsid w:val="289054D8"/>
    <w:rsid w:val="28A70617"/>
    <w:rsid w:val="28C33712"/>
    <w:rsid w:val="28E11BD5"/>
    <w:rsid w:val="292F56CA"/>
    <w:rsid w:val="2954A7EA"/>
    <w:rsid w:val="29A0B2BF"/>
    <w:rsid w:val="29AF5348"/>
    <w:rsid w:val="29BC8403"/>
    <w:rsid w:val="29CABBEF"/>
    <w:rsid w:val="29F235F0"/>
    <w:rsid w:val="2A0E3604"/>
    <w:rsid w:val="2A22B317"/>
    <w:rsid w:val="2A432AC2"/>
    <w:rsid w:val="2A4C63C5"/>
    <w:rsid w:val="2A8B3879"/>
    <w:rsid w:val="2AC1EE06"/>
    <w:rsid w:val="2B2B9268"/>
    <w:rsid w:val="2B3B4063"/>
    <w:rsid w:val="2B48C5C9"/>
    <w:rsid w:val="2BAB9849"/>
    <w:rsid w:val="2BC655F0"/>
    <w:rsid w:val="2BDC45D7"/>
    <w:rsid w:val="2C32D5C9"/>
    <w:rsid w:val="2C45C6FC"/>
    <w:rsid w:val="2C538F99"/>
    <w:rsid w:val="2C56D6D4"/>
    <w:rsid w:val="2C6F38A9"/>
    <w:rsid w:val="2CA57D1D"/>
    <w:rsid w:val="2CA92AF0"/>
    <w:rsid w:val="2CBC90D6"/>
    <w:rsid w:val="2CCFBBB1"/>
    <w:rsid w:val="2CDDB67F"/>
    <w:rsid w:val="2CFB786A"/>
    <w:rsid w:val="2D27C6B1"/>
    <w:rsid w:val="2DC4F956"/>
    <w:rsid w:val="2E0A5FE0"/>
    <w:rsid w:val="2E38C340"/>
    <w:rsid w:val="2E40E843"/>
    <w:rsid w:val="2E8C236E"/>
    <w:rsid w:val="2EC061C5"/>
    <w:rsid w:val="2ED5CF03"/>
    <w:rsid w:val="2EDC2E35"/>
    <w:rsid w:val="2F2D37E1"/>
    <w:rsid w:val="2F2F86C0"/>
    <w:rsid w:val="2F33B249"/>
    <w:rsid w:val="2F4D2C1D"/>
    <w:rsid w:val="2FDC8D57"/>
    <w:rsid w:val="2FDECDF6"/>
    <w:rsid w:val="303765AC"/>
    <w:rsid w:val="303BFC21"/>
    <w:rsid w:val="304D0522"/>
    <w:rsid w:val="30614E9E"/>
    <w:rsid w:val="3086C80E"/>
    <w:rsid w:val="30FCE82A"/>
    <w:rsid w:val="310ED209"/>
    <w:rsid w:val="311A2387"/>
    <w:rsid w:val="313B74DD"/>
    <w:rsid w:val="314AE508"/>
    <w:rsid w:val="31599E1D"/>
    <w:rsid w:val="31CE02B7"/>
    <w:rsid w:val="3202DC1E"/>
    <w:rsid w:val="323B7821"/>
    <w:rsid w:val="32AB847A"/>
    <w:rsid w:val="32B3C326"/>
    <w:rsid w:val="32E8A1D3"/>
    <w:rsid w:val="32FBA07D"/>
    <w:rsid w:val="3309EF6B"/>
    <w:rsid w:val="335CE216"/>
    <w:rsid w:val="3380AA1F"/>
    <w:rsid w:val="339E1064"/>
    <w:rsid w:val="34701C5F"/>
    <w:rsid w:val="3499E418"/>
    <w:rsid w:val="34C1852C"/>
    <w:rsid w:val="357C741F"/>
    <w:rsid w:val="357F0381"/>
    <w:rsid w:val="35840B7B"/>
    <w:rsid w:val="35AABE50"/>
    <w:rsid w:val="35CA91DC"/>
    <w:rsid w:val="35E34B80"/>
    <w:rsid w:val="35E56A1A"/>
    <w:rsid w:val="35EB94F6"/>
    <w:rsid w:val="35F27157"/>
    <w:rsid w:val="361380A1"/>
    <w:rsid w:val="3621BB1E"/>
    <w:rsid w:val="3663E9D1"/>
    <w:rsid w:val="36E5BC70"/>
    <w:rsid w:val="37395E80"/>
    <w:rsid w:val="373AC872"/>
    <w:rsid w:val="375E7268"/>
    <w:rsid w:val="376462C9"/>
    <w:rsid w:val="37D6DFA1"/>
    <w:rsid w:val="37EEDD87"/>
    <w:rsid w:val="384B473E"/>
    <w:rsid w:val="388C3050"/>
    <w:rsid w:val="38BAFDA3"/>
    <w:rsid w:val="38C2EA5A"/>
    <w:rsid w:val="38D44522"/>
    <w:rsid w:val="38E20F7D"/>
    <w:rsid w:val="39B62B44"/>
    <w:rsid w:val="3A41630A"/>
    <w:rsid w:val="3A4343A7"/>
    <w:rsid w:val="3A4D4313"/>
    <w:rsid w:val="3A90CF0F"/>
    <w:rsid w:val="3B300003"/>
    <w:rsid w:val="3B3B44F5"/>
    <w:rsid w:val="3B40439E"/>
    <w:rsid w:val="3B5ADB6E"/>
    <w:rsid w:val="3BC6B206"/>
    <w:rsid w:val="3BE09213"/>
    <w:rsid w:val="3C8506DD"/>
    <w:rsid w:val="3C92C7ED"/>
    <w:rsid w:val="3C98F328"/>
    <w:rsid w:val="3CB5ECA1"/>
    <w:rsid w:val="3CBC60D8"/>
    <w:rsid w:val="3CDC4AED"/>
    <w:rsid w:val="3CEE637E"/>
    <w:rsid w:val="3D171B31"/>
    <w:rsid w:val="3D33BC76"/>
    <w:rsid w:val="3DAA0B62"/>
    <w:rsid w:val="3E8B2725"/>
    <w:rsid w:val="3E965E5E"/>
    <w:rsid w:val="3EB4780F"/>
    <w:rsid w:val="3EB8B5CC"/>
    <w:rsid w:val="3EC44012"/>
    <w:rsid w:val="3EEE5A4A"/>
    <w:rsid w:val="3F4DC949"/>
    <w:rsid w:val="3F6BA0D8"/>
    <w:rsid w:val="3FA9178B"/>
    <w:rsid w:val="403A68FF"/>
    <w:rsid w:val="404A3DF8"/>
    <w:rsid w:val="405A9F0B"/>
    <w:rsid w:val="4088EDA5"/>
    <w:rsid w:val="40F6F498"/>
    <w:rsid w:val="4157E7A2"/>
    <w:rsid w:val="4188A38A"/>
    <w:rsid w:val="419DAC58"/>
    <w:rsid w:val="419DEB59"/>
    <w:rsid w:val="41C05947"/>
    <w:rsid w:val="41E1D506"/>
    <w:rsid w:val="423D641B"/>
    <w:rsid w:val="42621F7C"/>
    <w:rsid w:val="42663736"/>
    <w:rsid w:val="429FB14C"/>
    <w:rsid w:val="42A0D922"/>
    <w:rsid w:val="42DC93D3"/>
    <w:rsid w:val="43102137"/>
    <w:rsid w:val="43115027"/>
    <w:rsid w:val="432F8C5D"/>
    <w:rsid w:val="436A1DD3"/>
    <w:rsid w:val="436DC4B6"/>
    <w:rsid w:val="4385B986"/>
    <w:rsid w:val="43890614"/>
    <w:rsid w:val="438CEBF8"/>
    <w:rsid w:val="439AF6A1"/>
    <w:rsid w:val="440DD103"/>
    <w:rsid w:val="4434D863"/>
    <w:rsid w:val="4440E976"/>
    <w:rsid w:val="446EBAB1"/>
    <w:rsid w:val="4499FE86"/>
    <w:rsid w:val="44AA601F"/>
    <w:rsid w:val="44B337F6"/>
    <w:rsid w:val="44E6FE7C"/>
    <w:rsid w:val="454FFEDA"/>
    <w:rsid w:val="456C2CF8"/>
    <w:rsid w:val="459DD990"/>
    <w:rsid w:val="45E39930"/>
    <w:rsid w:val="460AC818"/>
    <w:rsid w:val="4647ABCE"/>
    <w:rsid w:val="464B883D"/>
    <w:rsid w:val="465FEF75"/>
    <w:rsid w:val="4678B72D"/>
    <w:rsid w:val="46933DA3"/>
    <w:rsid w:val="46BF0A3F"/>
    <w:rsid w:val="4735FE1F"/>
    <w:rsid w:val="474DE99B"/>
    <w:rsid w:val="4776B2BD"/>
    <w:rsid w:val="47C1EED3"/>
    <w:rsid w:val="47CD6590"/>
    <w:rsid w:val="47EE4C04"/>
    <w:rsid w:val="48A7B1EA"/>
    <w:rsid w:val="48B2A78E"/>
    <w:rsid w:val="48B95882"/>
    <w:rsid w:val="48BFB787"/>
    <w:rsid w:val="495C572D"/>
    <w:rsid w:val="4990C4D0"/>
    <w:rsid w:val="49E2751D"/>
    <w:rsid w:val="49F184E5"/>
    <w:rsid w:val="4A126081"/>
    <w:rsid w:val="4A189332"/>
    <w:rsid w:val="4A4BA1A7"/>
    <w:rsid w:val="4A76D408"/>
    <w:rsid w:val="4A76FB8D"/>
    <w:rsid w:val="4A84B3CB"/>
    <w:rsid w:val="4A88A697"/>
    <w:rsid w:val="4A9441E6"/>
    <w:rsid w:val="4ACE94C2"/>
    <w:rsid w:val="4AD047E0"/>
    <w:rsid w:val="4AD32C3F"/>
    <w:rsid w:val="4AFEB6A5"/>
    <w:rsid w:val="4B16081D"/>
    <w:rsid w:val="4B4141CA"/>
    <w:rsid w:val="4B929B1C"/>
    <w:rsid w:val="4BB3B07E"/>
    <w:rsid w:val="4BCC57E8"/>
    <w:rsid w:val="4C5034D3"/>
    <w:rsid w:val="4C55AADB"/>
    <w:rsid w:val="4CD9702B"/>
    <w:rsid w:val="4CDB7EAE"/>
    <w:rsid w:val="4CDF6FF7"/>
    <w:rsid w:val="4D5051D6"/>
    <w:rsid w:val="4D8AFA1F"/>
    <w:rsid w:val="4DCBC6C5"/>
    <w:rsid w:val="4DCCE95E"/>
    <w:rsid w:val="4E40401F"/>
    <w:rsid w:val="4E85FA80"/>
    <w:rsid w:val="4EF804DC"/>
    <w:rsid w:val="4F23A1D8"/>
    <w:rsid w:val="4F3E0DB6"/>
    <w:rsid w:val="4F6685A2"/>
    <w:rsid w:val="4F81D872"/>
    <w:rsid w:val="4F9C0079"/>
    <w:rsid w:val="4FB7DDF9"/>
    <w:rsid w:val="4FDF6861"/>
    <w:rsid w:val="50022832"/>
    <w:rsid w:val="502E076B"/>
    <w:rsid w:val="502F8583"/>
    <w:rsid w:val="509FFFC7"/>
    <w:rsid w:val="5150071D"/>
    <w:rsid w:val="51805AA5"/>
    <w:rsid w:val="519FF515"/>
    <w:rsid w:val="522C5AF0"/>
    <w:rsid w:val="526679D0"/>
    <w:rsid w:val="5299FA3E"/>
    <w:rsid w:val="52B4A566"/>
    <w:rsid w:val="52FB7D26"/>
    <w:rsid w:val="5314D759"/>
    <w:rsid w:val="53A777EE"/>
    <w:rsid w:val="5400E12F"/>
    <w:rsid w:val="540B8EA9"/>
    <w:rsid w:val="541E2724"/>
    <w:rsid w:val="54603A6D"/>
    <w:rsid w:val="5491A3F8"/>
    <w:rsid w:val="549CE318"/>
    <w:rsid w:val="54B55514"/>
    <w:rsid w:val="54C0EFE4"/>
    <w:rsid w:val="5509048F"/>
    <w:rsid w:val="5531FB6A"/>
    <w:rsid w:val="5538E2E4"/>
    <w:rsid w:val="558AD4A9"/>
    <w:rsid w:val="55A20B0E"/>
    <w:rsid w:val="55DDFA4F"/>
    <w:rsid w:val="566C0245"/>
    <w:rsid w:val="56CA735A"/>
    <w:rsid w:val="56F347E4"/>
    <w:rsid w:val="57068011"/>
    <w:rsid w:val="57389CFF"/>
    <w:rsid w:val="57627F83"/>
    <w:rsid w:val="5762BE26"/>
    <w:rsid w:val="57717FD7"/>
    <w:rsid w:val="578A0D32"/>
    <w:rsid w:val="579EF712"/>
    <w:rsid w:val="57A311D9"/>
    <w:rsid w:val="57B8FF28"/>
    <w:rsid w:val="57CE965E"/>
    <w:rsid w:val="57EA9B5D"/>
    <w:rsid w:val="57F93B52"/>
    <w:rsid w:val="580C4981"/>
    <w:rsid w:val="584B0218"/>
    <w:rsid w:val="58A31507"/>
    <w:rsid w:val="58D4A6AC"/>
    <w:rsid w:val="5913EAD4"/>
    <w:rsid w:val="593AFE67"/>
    <w:rsid w:val="5948D0C4"/>
    <w:rsid w:val="5962F540"/>
    <w:rsid w:val="59740CF6"/>
    <w:rsid w:val="59A791E0"/>
    <w:rsid w:val="59F0373F"/>
    <w:rsid w:val="5A2D71E1"/>
    <w:rsid w:val="5A3661BE"/>
    <w:rsid w:val="5A399AD4"/>
    <w:rsid w:val="5A404BE2"/>
    <w:rsid w:val="5A6E65F7"/>
    <w:rsid w:val="5ABFF2D4"/>
    <w:rsid w:val="5AC94030"/>
    <w:rsid w:val="5B050D82"/>
    <w:rsid w:val="5B06AB51"/>
    <w:rsid w:val="5B073FB5"/>
    <w:rsid w:val="5B3C33B1"/>
    <w:rsid w:val="5B8C80DA"/>
    <w:rsid w:val="5B92D5B1"/>
    <w:rsid w:val="5BA54395"/>
    <w:rsid w:val="5BD6E126"/>
    <w:rsid w:val="5C22AD44"/>
    <w:rsid w:val="5C402449"/>
    <w:rsid w:val="5C510098"/>
    <w:rsid w:val="5C5E976D"/>
    <w:rsid w:val="5C98754B"/>
    <w:rsid w:val="5CE2D08F"/>
    <w:rsid w:val="5D14E15A"/>
    <w:rsid w:val="5D323D3A"/>
    <w:rsid w:val="5D8184F3"/>
    <w:rsid w:val="5DDC3CAB"/>
    <w:rsid w:val="5E8DD1B1"/>
    <w:rsid w:val="5E909E90"/>
    <w:rsid w:val="5EA31EED"/>
    <w:rsid w:val="5F0344E3"/>
    <w:rsid w:val="5F33730B"/>
    <w:rsid w:val="5F6CDFCC"/>
    <w:rsid w:val="5F8AE7A5"/>
    <w:rsid w:val="5FFB1DEF"/>
    <w:rsid w:val="5FFEF062"/>
    <w:rsid w:val="60BD3B44"/>
    <w:rsid w:val="60FD12F0"/>
    <w:rsid w:val="6107B94E"/>
    <w:rsid w:val="61301A1F"/>
    <w:rsid w:val="614B3712"/>
    <w:rsid w:val="6150D1A6"/>
    <w:rsid w:val="617CD8E8"/>
    <w:rsid w:val="617E5492"/>
    <w:rsid w:val="6184A2EE"/>
    <w:rsid w:val="6189BEDC"/>
    <w:rsid w:val="62208A59"/>
    <w:rsid w:val="62AADDEC"/>
    <w:rsid w:val="62FD6F02"/>
    <w:rsid w:val="630B82AB"/>
    <w:rsid w:val="63159267"/>
    <w:rsid w:val="632AC94D"/>
    <w:rsid w:val="6334E722"/>
    <w:rsid w:val="63379D73"/>
    <w:rsid w:val="63413463"/>
    <w:rsid w:val="6345B1FF"/>
    <w:rsid w:val="63573830"/>
    <w:rsid w:val="6360994E"/>
    <w:rsid w:val="636A626C"/>
    <w:rsid w:val="6393AA21"/>
    <w:rsid w:val="63E67EF6"/>
    <w:rsid w:val="64264951"/>
    <w:rsid w:val="643C16BD"/>
    <w:rsid w:val="644A3D39"/>
    <w:rsid w:val="645E4648"/>
    <w:rsid w:val="646759E4"/>
    <w:rsid w:val="64678045"/>
    <w:rsid w:val="646C041C"/>
    <w:rsid w:val="648E7044"/>
    <w:rsid w:val="64AFEADC"/>
    <w:rsid w:val="653BED5E"/>
    <w:rsid w:val="653CEF72"/>
    <w:rsid w:val="654A5F0F"/>
    <w:rsid w:val="65695320"/>
    <w:rsid w:val="65E7DB70"/>
    <w:rsid w:val="65F319D1"/>
    <w:rsid w:val="660AB5C5"/>
    <w:rsid w:val="661E4348"/>
    <w:rsid w:val="668B3A49"/>
    <w:rsid w:val="6696739A"/>
    <w:rsid w:val="66BD1DFB"/>
    <w:rsid w:val="66C0558F"/>
    <w:rsid w:val="6713C0B1"/>
    <w:rsid w:val="675DA536"/>
    <w:rsid w:val="67C9DD43"/>
    <w:rsid w:val="68109CA4"/>
    <w:rsid w:val="683C03CB"/>
    <w:rsid w:val="6861EEA2"/>
    <w:rsid w:val="6871B26C"/>
    <w:rsid w:val="68ABF42A"/>
    <w:rsid w:val="68C0EDA7"/>
    <w:rsid w:val="68CA1A35"/>
    <w:rsid w:val="68D59334"/>
    <w:rsid w:val="68EACA1A"/>
    <w:rsid w:val="690A78BA"/>
    <w:rsid w:val="69185992"/>
    <w:rsid w:val="692AE4A2"/>
    <w:rsid w:val="69488979"/>
    <w:rsid w:val="694EDD26"/>
    <w:rsid w:val="6978DCD0"/>
    <w:rsid w:val="698E7692"/>
    <w:rsid w:val="6997E52F"/>
    <w:rsid w:val="69DBAED1"/>
    <w:rsid w:val="6A24ABD2"/>
    <w:rsid w:val="6A6FCB1B"/>
    <w:rsid w:val="6A7A75E6"/>
    <w:rsid w:val="6A8185C3"/>
    <w:rsid w:val="6A8B1C50"/>
    <w:rsid w:val="6AD48A20"/>
    <w:rsid w:val="6AFC14A2"/>
    <w:rsid w:val="6B2C2002"/>
    <w:rsid w:val="6B3C0A2E"/>
    <w:rsid w:val="6B55B597"/>
    <w:rsid w:val="6B69E4BD"/>
    <w:rsid w:val="6BD362EA"/>
    <w:rsid w:val="6C0086E3"/>
    <w:rsid w:val="6C065034"/>
    <w:rsid w:val="6C082F65"/>
    <w:rsid w:val="6C15149D"/>
    <w:rsid w:val="6C2CC03B"/>
    <w:rsid w:val="6C3018A2"/>
    <w:rsid w:val="6C435F27"/>
    <w:rsid w:val="6C4904D2"/>
    <w:rsid w:val="6C68EA69"/>
    <w:rsid w:val="6C87BC76"/>
    <w:rsid w:val="6CBD4436"/>
    <w:rsid w:val="6D1E4848"/>
    <w:rsid w:val="6D70ED3E"/>
    <w:rsid w:val="6D7D5BD8"/>
    <w:rsid w:val="6DB004CF"/>
    <w:rsid w:val="6DBCE56B"/>
    <w:rsid w:val="6DE85373"/>
    <w:rsid w:val="6E8D7E92"/>
    <w:rsid w:val="6E960295"/>
    <w:rsid w:val="6ED28AB1"/>
    <w:rsid w:val="6F78D9EC"/>
    <w:rsid w:val="6FF1AADC"/>
    <w:rsid w:val="7037A3BC"/>
    <w:rsid w:val="706C90F2"/>
    <w:rsid w:val="70730B3F"/>
    <w:rsid w:val="70AA25E7"/>
    <w:rsid w:val="70BD9E1A"/>
    <w:rsid w:val="710A37E5"/>
    <w:rsid w:val="718EC5EA"/>
    <w:rsid w:val="7192117C"/>
    <w:rsid w:val="71A02525"/>
    <w:rsid w:val="71A621AE"/>
    <w:rsid w:val="71BDD9EC"/>
    <w:rsid w:val="71E78BCD"/>
    <w:rsid w:val="7222B37D"/>
    <w:rsid w:val="722B45B8"/>
    <w:rsid w:val="724B2236"/>
    <w:rsid w:val="726A32D9"/>
    <w:rsid w:val="728DBB86"/>
    <w:rsid w:val="72936126"/>
    <w:rsid w:val="7298ACD8"/>
    <w:rsid w:val="729D7453"/>
    <w:rsid w:val="72A4659E"/>
    <w:rsid w:val="72B3AE13"/>
    <w:rsid w:val="72F30F80"/>
    <w:rsid w:val="7321D946"/>
    <w:rsid w:val="732F2BDB"/>
    <w:rsid w:val="735BCE45"/>
    <w:rsid w:val="736961AA"/>
    <w:rsid w:val="73730A05"/>
    <w:rsid w:val="73963E69"/>
    <w:rsid w:val="73E82C1F"/>
    <w:rsid w:val="7449DE07"/>
    <w:rsid w:val="744E0525"/>
    <w:rsid w:val="7493E720"/>
    <w:rsid w:val="74BB61CB"/>
    <w:rsid w:val="75064617"/>
    <w:rsid w:val="75156039"/>
    <w:rsid w:val="7523C94B"/>
    <w:rsid w:val="7527345D"/>
    <w:rsid w:val="753E8128"/>
    <w:rsid w:val="75CBE7CC"/>
    <w:rsid w:val="7651E52E"/>
    <w:rsid w:val="76684A09"/>
    <w:rsid w:val="766C5C43"/>
    <w:rsid w:val="768595B3"/>
    <w:rsid w:val="76BA84D8"/>
    <w:rsid w:val="76DBAEB6"/>
    <w:rsid w:val="771C472B"/>
    <w:rsid w:val="77306E4B"/>
    <w:rsid w:val="778C74CA"/>
    <w:rsid w:val="77BE7C2C"/>
    <w:rsid w:val="782D096F"/>
    <w:rsid w:val="78738C1B"/>
    <w:rsid w:val="78ACECE2"/>
    <w:rsid w:val="78BDA0D3"/>
    <w:rsid w:val="79014EDE"/>
    <w:rsid w:val="791D3FEA"/>
    <w:rsid w:val="79D4AFF8"/>
    <w:rsid w:val="79D7537B"/>
    <w:rsid w:val="7A7F9FEA"/>
    <w:rsid w:val="7A88024D"/>
    <w:rsid w:val="7AD8F504"/>
    <w:rsid w:val="7B05644E"/>
    <w:rsid w:val="7B9D98C2"/>
    <w:rsid w:val="7BB8E514"/>
    <w:rsid w:val="7BB9144D"/>
    <w:rsid w:val="7BC67353"/>
    <w:rsid w:val="7BC913DC"/>
    <w:rsid w:val="7BD8C1D7"/>
    <w:rsid w:val="7BEAC862"/>
    <w:rsid w:val="7C3AB396"/>
    <w:rsid w:val="7C44BC1F"/>
    <w:rsid w:val="7C7BB239"/>
    <w:rsid w:val="7C94EC03"/>
    <w:rsid w:val="7D361BD1"/>
    <w:rsid w:val="7D84C3FA"/>
    <w:rsid w:val="7D968672"/>
    <w:rsid w:val="7D9E7359"/>
    <w:rsid w:val="7DA920D3"/>
    <w:rsid w:val="7DA9910D"/>
    <w:rsid w:val="7DB621F2"/>
    <w:rsid w:val="7DFDCBD1"/>
    <w:rsid w:val="7E0E13E5"/>
    <w:rsid w:val="7E1D6AE7"/>
    <w:rsid w:val="7E21C47F"/>
    <w:rsid w:val="7E2B2845"/>
    <w:rsid w:val="7E63FE36"/>
    <w:rsid w:val="7E7F6E05"/>
    <w:rsid w:val="7E95F979"/>
    <w:rsid w:val="7EEBB744"/>
    <w:rsid w:val="7F156B16"/>
    <w:rsid w:val="7F30CE30"/>
    <w:rsid w:val="7F885F24"/>
    <w:rsid w:val="7F9019D9"/>
    <w:rsid w:val="7FA99762"/>
    <w:rsid w:val="7FB5E4EE"/>
    <w:rsid w:val="7FC7FFB9"/>
    <w:rsid w:val="7FCB874A"/>
    <w:rsid w:val="7FCFA026"/>
    <w:rsid w:val="7FD51743"/>
    <w:rsid w:val="7FDAE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B247E"/>
  <w15:chartTrackingRefBased/>
  <w15:docId w15:val="{1376ECA3-66B8-4B20-833F-67E81616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1BB"/>
    <w:pPr>
      <w:spacing w:after="0" w:line="240" w:lineRule="auto"/>
    </w:pPr>
    <w:rPr>
      <w:rFonts w:ascii="Calibri" w:hAnsi="Calibri" w:cs="Calibri"/>
      <w:lang w:eastAsia="en-GB"/>
    </w:rPr>
  </w:style>
  <w:style w:type="paragraph" w:styleId="Heading1">
    <w:name w:val="heading 1"/>
    <w:basedOn w:val="Normal"/>
    <w:next w:val="Normal"/>
    <w:link w:val="Heading1Char"/>
    <w:uiPriority w:val="9"/>
    <w:qFormat/>
    <w:rsid w:val="00070091"/>
    <w:pPr>
      <w:spacing w:line="276" w:lineRule="auto"/>
      <w:outlineLvl w:val="0"/>
    </w:pPr>
    <w:rPr>
      <w:rFonts w:asciiTheme="minorHAnsi" w:hAnsiTheme="minorHAnsi" w:cstheme="minorHAnsi"/>
      <w:b/>
      <w:bCs/>
      <w:sz w:val="36"/>
      <w:szCs w:val="36"/>
    </w:rPr>
  </w:style>
  <w:style w:type="paragraph" w:styleId="Heading2">
    <w:name w:val="heading 2"/>
    <w:basedOn w:val="Normal"/>
    <w:next w:val="Normal"/>
    <w:link w:val="Heading2Char"/>
    <w:uiPriority w:val="9"/>
    <w:semiHidden/>
    <w:unhideWhenUsed/>
    <w:qFormat/>
    <w:rsid w:val="0073482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D106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85CF3"/>
    <w:pPr>
      <w:ind w:left="720"/>
      <w:contextualSpacing/>
    </w:pPr>
  </w:style>
  <w:style w:type="character" w:customStyle="1" w:styleId="address-line1">
    <w:name w:val="address-line1"/>
    <w:basedOn w:val="DefaultParagraphFont"/>
    <w:rsid w:val="001565C2"/>
  </w:style>
  <w:style w:type="character" w:customStyle="1" w:styleId="address-line2">
    <w:name w:val="address-line2"/>
    <w:basedOn w:val="DefaultParagraphFont"/>
    <w:rsid w:val="001565C2"/>
  </w:style>
  <w:style w:type="character" w:customStyle="1" w:styleId="locality">
    <w:name w:val="locality"/>
    <w:basedOn w:val="DefaultParagraphFont"/>
    <w:rsid w:val="001565C2"/>
  </w:style>
  <w:style w:type="character" w:customStyle="1" w:styleId="postal-code">
    <w:name w:val="postal-code"/>
    <w:basedOn w:val="DefaultParagraphFont"/>
    <w:rsid w:val="001565C2"/>
  </w:style>
  <w:style w:type="character" w:customStyle="1" w:styleId="country">
    <w:name w:val="country"/>
    <w:basedOn w:val="DefaultParagraphFont"/>
    <w:rsid w:val="001565C2"/>
  </w:style>
  <w:style w:type="character" w:styleId="Hyperlink">
    <w:name w:val="Hyperlink"/>
    <w:basedOn w:val="DefaultParagraphFont"/>
    <w:uiPriority w:val="99"/>
    <w:unhideWhenUsed/>
    <w:rsid w:val="007339CB"/>
    <w:rPr>
      <w:color w:val="0563C1" w:themeColor="hyperlink"/>
      <w:u w:val="single"/>
    </w:rPr>
  </w:style>
  <w:style w:type="character" w:styleId="UnresolvedMention">
    <w:name w:val="Unresolved Mention"/>
    <w:basedOn w:val="DefaultParagraphFont"/>
    <w:uiPriority w:val="99"/>
    <w:semiHidden/>
    <w:unhideWhenUsed/>
    <w:rsid w:val="007339CB"/>
    <w:rPr>
      <w:color w:val="605E5C"/>
      <w:shd w:val="clear" w:color="auto" w:fill="E1DFDD"/>
    </w:rPr>
  </w:style>
  <w:style w:type="character" w:styleId="CommentReference">
    <w:name w:val="annotation reference"/>
    <w:basedOn w:val="DefaultParagraphFont"/>
    <w:uiPriority w:val="99"/>
    <w:semiHidden/>
    <w:unhideWhenUsed/>
    <w:rsid w:val="00FD36D8"/>
    <w:rPr>
      <w:sz w:val="16"/>
      <w:szCs w:val="16"/>
    </w:rPr>
  </w:style>
  <w:style w:type="paragraph" w:styleId="CommentText">
    <w:name w:val="annotation text"/>
    <w:basedOn w:val="Normal"/>
    <w:link w:val="CommentTextChar"/>
    <w:uiPriority w:val="99"/>
    <w:unhideWhenUsed/>
    <w:rsid w:val="00FD36D8"/>
    <w:rPr>
      <w:sz w:val="20"/>
      <w:szCs w:val="20"/>
    </w:rPr>
  </w:style>
  <w:style w:type="character" w:customStyle="1" w:styleId="CommentTextChar">
    <w:name w:val="Comment Text Char"/>
    <w:basedOn w:val="DefaultParagraphFont"/>
    <w:link w:val="CommentText"/>
    <w:uiPriority w:val="99"/>
    <w:rsid w:val="00FD36D8"/>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FD36D8"/>
    <w:rPr>
      <w:b/>
      <w:bCs/>
    </w:rPr>
  </w:style>
  <w:style w:type="character" w:customStyle="1" w:styleId="CommentSubjectChar">
    <w:name w:val="Comment Subject Char"/>
    <w:basedOn w:val="CommentTextChar"/>
    <w:link w:val="CommentSubject"/>
    <w:uiPriority w:val="99"/>
    <w:semiHidden/>
    <w:rsid w:val="00FD36D8"/>
    <w:rPr>
      <w:rFonts w:ascii="Calibri" w:hAnsi="Calibri" w:cs="Calibri"/>
      <w:b/>
      <w:bCs/>
      <w:sz w:val="20"/>
      <w:szCs w:val="20"/>
      <w:lang w:eastAsia="en-GB"/>
    </w:rPr>
  </w:style>
  <w:style w:type="table" w:styleId="TableGrid">
    <w:name w:val="Table Grid"/>
    <w:basedOn w:val="TableNormal"/>
    <w:uiPriority w:val="39"/>
    <w:rsid w:val="0047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70091"/>
    <w:rPr>
      <w:rFonts w:cstheme="minorHAnsi"/>
      <w:b/>
      <w:bCs/>
      <w:sz w:val="36"/>
      <w:szCs w:val="36"/>
      <w:lang w:eastAsia="en-GB"/>
    </w:rPr>
  </w:style>
  <w:style w:type="paragraph" w:styleId="Title">
    <w:name w:val="Title"/>
    <w:basedOn w:val="Normal"/>
    <w:next w:val="Normal"/>
    <w:link w:val="TitleChar"/>
    <w:uiPriority w:val="10"/>
    <w:qFormat/>
    <w:rsid w:val="00F36AB3"/>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F36AB3"/>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043CF6"/>
    <w:rPr>
      <w:color w:val="954F72" w:themeColor="followedHyperlink"/>
      <w:u w:val="single"/>
    </w:rPr>
  </w:style>
  <w:style w:type="paragraph" w:styleId="NormalWeb">
    <w:name w:val="Normal (Web)"/>
    <w:basedOn w:val="Normal"/>
    <w:uiPriority w:val="99"/>
    <w:unhideWhenUsed/>
    <w:rsid w:val="00C554D9"/>
    <w:pPr>
      <w:spacing w:before="100" w:beforeAutospacing="1" w:after="100" w:afterAutospacing="1"/>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3482E"/>
    <w:rPr>
      <w:rFonts w:asciiTheme="majorHAnsi" w:eastAsiaTheme="majorEastAsia" w:hAnsiTheme="majorHAnsi" w:cstheme="majorBidi"/>
      <w:color w:val="2F5496" w:themeColor="accent1" w:themeShade="BF"/>
      <w:sz w:val="26"/>
      <w:szCs w:val="26"/>
      <w:lang w:eastAsia="en-GB"/>
    </w:rPr>
  </w:style>
  <w:style w:type="character" w:styleId="Emphasis">
    <w:name w:val="Emphasis"/>
    <w:basedOn w:val="DefaultParagraphFont"/>
    <w:uiPriority w:val="20"/>
    <w:qFormat/>
    <w:rsid w:val="0073482E"/>
    <w:rPr>
      <w:i/>
      <w:iCs/>
    </w:rPr>
  </w:style>
  <w:style w:type="character" w:styleId="Strong">
    <w:name w:val="Strong"/>
    <w:basedOn w:val="DefaultParagraphFont"/>
    <w:uiPriority w:val="22"/>
    <w:qFormat/>
    <w:rsid w:val="008034CF"/>
    <w:rPr>
      <w:b/>
      <w:bCs/>
    </w:rPr>
  </w:style>
  <w:style w:type="paragraph" w:customStyle="1" w:styleId="EndNoteBibliography">
    <w:name w:val="EndNote Bibliography"/>
    <w:basedOn w:val="Normal"/>
    <w:link w:val="EndNoteBibliographyChar"/>
    <w:rsid w:val="00E26404"/>
    <w:pPr>
      <w:spacing w:line="360" w:lineRule="auto"/>
    </w:pPr>
    <w:rPr>
      <w:lang w:val="en-US" w:eastAsia="en-US"/>
    </w:rPr>
  </w:style>
  <w:style w:type="character" w:customStyle="1" w:styleId="EndNoteBibliographyChar">
    <w:name w:val="EndNote Bibliography Char"/>
    <w:basedOn w:val="DefaultParagraphFont"/>
    <w:link w:val="EndNoteBibliography"/>
    <w:rsid w:val="00E26404"/>
    <w:rPr>
      <w:rFonts w:ascii="Calibri" w:hAnsi="Calibri" w:cs="Calibri"/>
      <w:lang w:val="en-US"/>
    </w:rPr>
  </w:style>
  <w:style w:type="table" w:customStyle="1" w:styleId="TableGrid1">
    <w:name w:val="Table Grid1"/>
    <w:basedOn w:val="TableNormal"/>
    <w:next w:val="TableGrid"/>
    <w:uiPriority w:val="39"/>
    <w:rsid w:val="00B54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D1065"/>
    <w:rPr>
      <w:rFonts w:asciiTheme="majorHAnsi" w:eastAsiaTheme="majorEastAsia" w:hAnsiTheme="majorHAnsi" w:cstheme="majorBidi"/>
      <w:color w:val="1F3763" w:themeColor="accent1" w:themeShade="7F"/>
      <w:sz w:val="24"/>
      <w:szCs w:val="24"/>
      <w:lang w:eastAsia="en-GB"/>
    </w:rPr>
  </w:style>
  <w:style w:type="paragraph" w:styleId="Header">
    <w:name w:val="header"/>
    <w:basedOn w:val="Normal"/>
    <w:link w:val="HeaderChar"/>
    <w:uiPriority w:val="99"/>
    <w:unhideWhenUsed/>
    <w:rsid w:val="00F2346E"/>
    <w:pPr>
      <w:tabs>
        <w:tab w:val="center" w:pos="4513"/>
        <w:tab w:val="right" w:pos="9026"/>
      </w:tabs>
    </w:pPr>
    <w:rPr>
      <w:rFonts w:asciiTheme="minorHAnsi" w:hAnsiTheme="minorHAnsi" w:cstheme="minorBidi"/>
      <w:lang w:eastAsia="en-US"/>
    </w:rPr>
  </w:style>
  <w:style w:type="character" w:customStyle="1" w:styleId="HeaderChar">
    <w:name w:val="Header Char"/>
    <w:basedOn w:val="DefaultParagraphFont"/>
    <w:link w:val="Header"/>
    <w:uiPriority w:val="99"/>
    <w:rsid w:val="00F2346E"/>
  </w:style>
  <w:style w:type="paragraph" w:styleId="Footer">
    <w:name w:val="footer"/>
    <w:basedOn w:val="Normal"/>
    <w:link w:val="FooterChar"/>
    <w:uiPriority w:val="99"/>
    <w:unhideWhenUsed/>
    <w:rsid w:val="00F2346E"/>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F2346E"/>
  </w:style>
  <w:style w:type="character" w:customStyle="1" w:styleId="jrnl">
    <w:name w:val="jrnl"/>
    <w:basedOn w:val="DefaultParagraphFont"/>
    <w:rsid w:val="00F2346E"/>
  </w:style>
  <w:style w:type="paragraph" w:styleId="TOCHeading">
    <w:name w:val="TOC Heading"/>
    <w:basedOn w:val="Heading1"/>
    <w:next w:val="Normal"/>
    <w:uiPriority w:val="39"/>
    <w:unhideWhenUsed/>
    <w:qFormat/>
    <w:rsid w:val="00070091"/>
    <w:pPr>
      <w:outlineLvl w:val="9"/>
    </w:pPr>
    <w:rPr>
      <w:lang w:val="en-US"/>
    </w:rPr>
  </w:style>
  <w:style w:type="paragraph" w:styleId="TOC1">
    <w:name w:val="toc 1"/>
    <w:basedOn w:val="Normal"/>
    <w:next w:val="Normal"/>
    <w:autoRedefine/>
    <w:uiPriority w:val="39"/>
    <w:unhideWhenUsed/>
    <w:rsid w:val="00070091"/>
    <w:pPr>
      <w:spacing w:after="100"/>
    </w:pPr>
  </w:style>
  <w:style w:type="table" w:customStyle="1" w:styleId="TableGrid2">
    <w:name w:val="Table Grid2"/>
    <w:basedOn w:val="TableNormal"/>
    <w:next w:val="TableGrid"/>
    <w:uiPriority w:val="39"/>
    <w:rsid w:val="008C0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87DCA"/>
    <w:rPr>
      <w:color w:val="605E5C"/>
      <w:shd w:val="clear" w:color="auto" w:fill="E1DFDD"/>
    </w:rPr>
  </w:style>
  <w:style w:type="table" w:customStyle="1" w:styleId="TableGrid3">
    <w:name w:val="Table Grid3"/>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8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C87DCA"/>
  </w:style>
  <w:style w:type="paragraph" w:customStyle="1" w:styleId="paragraph">
    <w:name w:val="paragraph"/>
    <w:basedOn w:val="Normal"/>
    <w:rsid w:val="00C87DC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87DCA"/>
  </w:style>
  <w:style w:type="character" w:customStyle="1" w:styleId="eop">
    <w:name w:val="eop"/>
    <w:basedOn w:val="DefaultParagraphFont"/>
    <w:rsid w:val="00C87DCA"/>
  </w:style>
  <w:style w:type="paragraph" w:styleId="BalloonText">
    <w:name w:val="Balloon Text"/>
    <w:basedOn w:val="Normal"/>
    <w:link w:val="BalloonTextChar"/>
    <w:uiPriority w:val="99"/>
    <w:semiHidden/>
    <w:unhideWhenUsed/>
    <w:rsid w:val="00C87D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DCA"/>
    <w:rPr>
      <w:rFonts w:ascii="Segoe UI" w:hAnsi="Segoe UI" w:cs="Segoe UI"/>
      <w:sz w:val="18"/>
      <w:szCs w:val="18"/>
      <w:lang w:eastAsia="en-GB"/>
    </w:rPr>
  </w:style>
  <w:style w:type="paragraph" w:customStyle="1" w:styleId="EndNoteBibliographyTitle">
    <w:name w:val="EndNote Bibliography Title"/>
    <w:basedOn w:val="Normal"/>
    <w:link w:val="EndNoteBibliographyTitleChar"/>
    <w:rsid w:val="00A766CD"/>
    <w:pPr>
      <w:jc w:val="center"/>
    </w:pPr>
    <w:rPr>
      <w:noProof/>
    </w:rPr>
  </w:style>
  <w:style w:type="character" w:customStyle="1" w:styleId="EndNoteBibliographyTitleChar">
    <w:name w:val="EndNote Bibliography Title Char"/>
    <w:basedOn w:val="DefaultParagraphFont"/>
    <w:link w:val="EndNoteBibliographyTitle"/>
    <w:rsid w:val="00A766CD"/>
    <w:rPr>
      <w:rFonts w:ascii="Calibri" w:hAnsi="Calibri" w:cs="Calibri"/>
      <w:noProof/>
      <w:lang w:eastAsia="en-GB"/>
    </w:rPr>
  </w:style>
  <w:style w:type="table" w:customStyle="1" w:styleId="PlainTable21">
    <w:name w:val="Plain Table 21"/>
    <w:basedOn w:val="TableNormal"/>
    <w:next w:val="PlainTable2"/>
    <w:uiPriority w:val="42"/>
    <w:rsid w:val="00840AD6"/>
    <w:pPr>
      <w:spacing w:after="0" w:line="240" w:lineRule="auto"/>
    </w:pPr>
    <w:rPr>
      <w:rFonts w:eastAsia="DengXian"/>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840AD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764C85"/>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470AE4"/>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470AE4"/>
    <w:rPr>
      <w:rFonts w:ascii="Calibri" w:hAnsi="Calibri" w:cs="Calibri"/>
      <w:lang w:eastAsia="en-GB"/>
    </w:rPr>
  </w:style>
  <w:style w:type="paragraph" w:styleId="FootnoteText">
    <w:name w:val="footnote text"/>
    <w:basedOn w:val="Normal"/>
    <w:link w:val="FootnoteTextChar"/>
    <w:uiPriority w:val="99"/>
    <w:semiHidden/>
    <w:unhideWhenUsed/>
    <w:rsid w:val="00470AE4"/>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70AE4"/>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470AE4"/>
    <w:rPr>
      <w:vertAlign w:val="superscript"/>
    </w:rPr>
  </w:style>
  <w:style w:type="character" w:customStyle="1" w:styleId="nlmedition">
    <w:name w:val="nlm_edition"/>
    <w:basedOn w:val="DefaultParagraphFont"/>
    <w:rsid w:val="00470AE4"/>
  </w:style>
  <w:style w:type="character" w:customStyle="1" w:styleId="nlmpublisher-loc">
    <w:name w:val="nlm_publisher-loc"/>
    <w:basedOn w:val="DefaultParagraphFont"/>
    <w:rsid w:val="00470AE4"/>
  </w:style>
  <w:style w:type="character" w:customStyle="1" w:styleId="nlmpublisher-name">
    <w:name w:val="nlm_publisher-name"/>
    <w:basedOn w:val="DefaultParagraphFont"/>
    <w:rsid w:val="00470AE4"/>
  </w:style>
  <w:style w:type="character" w:customStyle="1" w:styleId="nlmyear">
    <w:name w:val="nlm_year"/>
    <w:basedOn w:val="DefaultParagraphFont"/>
    <w:rsid w:val="00470AE4"/>
  </w:style>
  <w:style w:type="character" w:customStyle="1" w:styleId="bkciteavail">
    <w:name w:val="bk_cite_avail"/>
    <w:basedOn w:val="DefaultParagraphFont"/>
    <w:rsid w:val="00470AE4"/>
  </w:style>
  <w:style w:type="paragraph" w:styleId="Revision">
    <w:name w:val="Revision"/>
    <w:hidden/>
    <w:uiPriority w:val="99"/>
    <w:semiHidden/>
    <w:rsid w:val="00470AE4"/>
    <w:pPr>
      <w:spacing w:after="0" w:line="240" w:lineRule="auto"/>
    </w:pPr>
  </w:style>
  <w:style w:type="table" w:styleId="PlainTable1">
    <w:name w:val="Plain Table 1"/>
    <w:basedOn w:val="TableNormal"/>
    <w:uiPriority w:val="41"/>
    <w:rsid w:val="00470AE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470AE4"/>
  </w:style>
  <w:style w:type="paragraph" w:styleId="TOC3">
    <w:name w:val="toc 3"/>
    <w:basedOn w:val="Normal"/>
    <w:next w:val="Normal"/>
    <w:autoRedefine/>
    <w:uiPriority w:val="39"/>
    <w:unhideWhenUsed/>
    <w:rsid w:val="009C52BB"/>
    <w:pPr>
      <w:spacing w:after="100"/>
      <w:ind w:left="440"/>
    </w:pPr>
  </w:style>
  <w:style w:type="paragraph" w:styleId="Caption">
    <w:name w:val="caption"/>
    <w:basedOn w:val="Normal"/>
    <w:next w:val="Normal"/>
    <w:uiPriority w:val="35"/>
    <w:unhideWhenUsed/>
    <w:qFormat/>
    <w:rsid w:val="008B560E"/>
    <w:pPr>
      <w:spacing w:after="200"/>
    </w:pPr>
    <w:rPr>
      <w:i/>
      <w:iCs/>
      <w:color w:val="44546A" w:themeColor="text2"/>
      <w:sz w:val="18"/>
      <w:szCs w:val="18"/>
    </w:rPr>
  </w:style>
  <w:style w:type="paragraph" w:styleId="TableofFigures">
    <w:name w:val="table of figures"/>
    <w:basedOn w:val="Normal"/>
    <w:next w:val="Normal"/>
    <w:uiPriority w:val="99"/>
    <w:unhideWhenUsed/>
    <w:rsid w:val="00DC2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05">
      <w:bodyDiv w:val="1"/>
      <w:marLeft w:val="0"/>
      <w:marRight w:val="0"/>
      <w:marTop w:val="0"/>
      <w:marBottom w:val="0"/>
      <w:divBdr>
        <w:top w:val="none" w:sz="0" w:space="0" w:color="auto"/>
        <w:left w:val="none" w:sz="0" w:space="0" w:color="auto"/>
        <w:bottom w:val="none" w:sz="0" w:space="0" w:color="auto"/>
        <w:right w:val="none" w:sz="0" w:space="0" w:color="auto"/>
      </w:divBdr>
    </w:div>
    <w:div w:id="13390177">
      <w:bodyDiv w:val="1"/>
      <w:marLeft w:val="0"/>
      <w:marRight w:val="0"/>
      <w:marTop w:val="0"/>
      <w:marBottom w:val="0"/>
      <w:divBdr>
        <w:top w:val="none" w:sz="0" w:space="0" w:color="auto"/>
        <w:left w:val="none" w:sz="0" w:space="0" w:color="auto"/>
        <w:bottom w:val="none" w:sz="0" w:space="0" w:color="auto"/>
        <w:right w:val="none" w:sz="0" w:space="0" w:color="auto"/>
      </w:divBdr>
    </w:div>
    <w:div w:id="79110084">
      <w:bodyDiv w:val="1"/>
      <w:marLeft w:val="0"/>
      <w:marRight w:val="0"/>
      <w:marTop w:val="0"/>
      <w:marBottom w:val="0"/>
      <w:divBdr>
        <w:top w:val="none" w:sz="0" w:space="0" w:color="auto"/>
        <w:left w:val="none" w:sz="0" w:space="0" w:color="auto"/>
        <w:bottom w:val="none" w:sz="0" w:space="0" w:color="auto"/>
        <w:right w:val="none" w:sz="0" w:space="0" w:color="auto"/>
      </w:divBdr>
    </w:div>
    <w:div w:id="89357891">
      <w:bodyDiv w:val="1"/>
      <w:marLeft w:val="0"/>
      <w:marRight w:val="0"/>
      <w:marTop w:val="0"/>
      <w:marBottom w:val="0"/>
      <w:divBdr>
        <w:top w:val="none" w:sz="0" w:space="0" w:color="auto"/>
        <w:left w:val="none" w:sz="0" w:space="0" w:color="auto"/>
        <w:bottom w:val="none" w:sz="0" w:space="0" w:color="auto"/>
        <w:right w:val="none" w:sz="0" w:space="0" w:color="auto"/>
      </w:divBdr>
    </w:div>
    <w:div w:id="100301821">
      <w:bodyDiv w:val="1"/>
      <w:marLeft w:val="0"/>
      <w:marRight w:val="0"/>
      <w:marTop w:val="0"/>
      <w:marBottom w:val="0"/>
      <w:divBdr>
        <w:top w:val="none" w:sz="0" w:space="0" w:color="auto"/>
        <w:left w:val="none" w:sz="0" w:space="0" w:color="auto"/>
        <w:bottom w:val="none" w:sz="0" w:space="0" w:color="auto"/>
        <w:right w:val="none" w:sz="0" w:space="0" w:color="auto"/>
      </w:divBdr>
    </w:div>
    <w:div w:id="117377635">
      <w:bodyDiv w:val="1"/>
      <w:marLeft w:val="0"/>
      <w:marRight w:val="0"/>
      <w:marTop w:val="0"/>
      <w:marBottom w:val="0"/>
      <w:divBdr>
        <w:top w:val="none" w:sz="0" w:space="0" w:color="auto"/>
        <w:left w:val="none" w:sz="0" w:space="0" w:color="auto"/>
        <w:bottom w:val="none" w:sz="0" w:space="0" w:color="auto"/>
        <w:right w:val="none" w:sz="0" w:space="0" w:color="auto"/>
      </w:divBdr>
    </w:div>
    <w:div w:id="119809213">
      <w:bodyDiv w:val="1"/>
      <w:marLeft w:val="0"/>
      <w:marRight w:val="0"/>
      <w:marTop w:val="0"/>
      <w:marBottom w:val="0"/>
      <w:divBdr>
        <w:top w:val="none" w:sz="0" w:space="0" w:color="auto"/>
        <w:left w:val="none" w:sz="0" w:space="0" w:color="auto"/>
        <w:bottom w:val="none" w:sz="0" w:space="0" w:color="auto"/>
        <w:right w:val="none" w:sz="0" w:space="0" w:color="auto"/>
      </w:divBdr>
    </w:div>
    <w:div w:id="122768637">
      <w:bodyDiv w:val="1"/>
      <w:marLeft w:val="0"/>
      <w:marRight w:val="0"/>
      <w:marTop w:val="0"/>
      <w:marBottom w:val="0"/>
      <w:divBdr>
        <w:top w:val="none" w:sz="0" w:space="0" w:color="auto"/>
        <w:left w:val="none" w:sz="0" w:space="0" w:color="auto"/>
        <w:bottom w:val="none" w:sz="0" w:space="0" w:color="auto"/>
        <w:right w:val="none" w:sz="0" w:space="0" w:color="auto"/>
      </w:divBdr>
    </w:div>
    <w:div w:id="124468753">
      <w:bodyDiv w:val="1"/>
      <w:marLeft w:val="0"/>
      <w:marRight w:val="0"/>
      <w:marTop w:val="0"/>
      <w:marBottom w:val="0"/>
      <w:divBdr>
        <w:top w:val="none" w:sz="0" w:space="0" w:color="auto"/>
        <w:left w:val="none" w:sz="0" w:space="0" w:color="auto"/>
        <w:bottom w:val="none" w:sz="0" w:space="0" w:color="auto"/>
        <w:right w:val="none" w:sz="0" w:space="0" w:color="auto"/>
      </w:divBdr>
    </w:div>
    <w:div w:id="129397685">
      <w:bodyDiv w:val="1"/>
      <w:marLeft w:val="0"/>
      <w:marRight w:val="0"/>
      <w:marTop w:val="0"/>
      <w:marBottom w:val="0"/>
      <w:divBdr>
        <w:top w:val="none" w:sz="0" w:space="0" w:color="auto"/>
        <w:left w:val="none" w:sz="0" w:space="0" w:color="auto"/>
        <w:bottom w:val="none" w:sz="0" w:space="0" w:color="auto"/>
        <w:right w:val="none" w:sz="0" w:space="0" w:color="auto"/>
      </w:divBdr>
    </w:div>
    <w:div w:id="157500153">
      <w:bodyDiv w:val="1"/>
      <w:marLeft w:val="0"/>
      <w:marRight w:val="0"/>
      <w:marTop w:val="0"/>
      <w:marBottom w:val="0"/>
      <w:divBdr>
        <w:top w:val="none" w:sz="0" w:space="0" w:color="auto"/>
        <w:left w:val="none" w:sz="0" w:space="0" w:color="auto"/>
        <w:bottom w:val="none" w:sz="0" w:space="0" w:color="auto"/>
        <w:right w:val="none" w:sz="0" w:space="0" w:color="auto"/>
      </w:divBdr>
    </w:div>
    <w:div w:id="159274392">
      <w:bodyDiv w:val="1"/>
      <w:marLeft w:val="0"/>
      <w:marRight w:val="0"/>
      <w:marTop w:val="0"/>
      <w:marBottom w:val="0"/>
      <w:divBdr>
        <w:top w:val="none" w:sz="0" w:space="0" w:color="auto"/>
        <w:left w:val="none" w:sz="0" w:space="0" w:color="auto"/>
        <w:bottom w:val="none" w:sz="0" w:space="0" w:color="auto"/>
        <w:right w:val="none" w:sz="0" w:space="0" w:color="auto"/>
      </w:divBdr>
    </w:div>
    <w:div w:id="161092857">
      <w:bodyDiv w:val="1"/>
      <w:marLeft w:val="0"/>
      <w:marRight w:val="0"/>
      <w:marTop w:val="0"/>
      <w:marBottom w:val="0"/>
      <w:divBdr>
        <w:top w:val="none" w:sz="0" w:space="0" w:color="auto"/>
        <w:left w:val="none" w:sz="0" w:space="0" w:color="auto"/>
        <w:bottom w:val="none" w:sz="0" w:space="0" w:color="auto"/>
        <w:right w:val="none" w:sz="0" w:space="0" w:color="auto"/>
      </w:divBdr>
    </w:div>
    <w:div w:id="164519200">
      <w:bodyDiv w:val="1"/>
      <w:marLeft w:val="0"/>
      <w:marRight w:val="0"/>
      <w:marTop w:val="0"/>
      <w:marBottom w:val="0"/>
      <w:divBdr>
        <w:top w:val="none" w:sz="0" w:space="0" w:color="auto"/>
        <w:left w:val="none" w:sz="0" w:space="0" w:color="auto"/>
        <w:bottom w:val="none" w:sz="0" w:space="0" w:color="auto"/>
        <w:right w:val="none" w:sz="0" w:space="0" w:color="auto"/>
      </w:divBdr>
    </w:div>
    <w:div w:id="174618091">
      <w:bodyDiv w:val="1"/>
      <w:marLeft w:val="0"/>
      <w:marRight w:val="0"/>
      <w:marTop w:val="0"/>
      <w:marBottom w:val="0"/>
      <w:divBdr>
        <w:top w:val="none" w:sz="0" w:space="0" w:color="auto"/>
        <w:left w:val="none" w:sz="0" w:space="0" w:color="auto"/>
        <w:bottom w:val="none" w:sz="0" w:space="0" w:color="auto"/>
        <w:right w:val="none" w:sz="0" w:space="0" w:color="auto"/>
      </w:divBdr>
    </w:div>
    <w:div w:id="179780218">
      <w:bodyDiv w:val="1"/>
      <w:marLeft w:val="0"/>
      <w:marRight w:val="0"/>
      <w:marTop w:val="0"/>
      <w:marBottom w:val="0"/>
      <w:divBdr>
        <w:top w:val="none" w:sz="0" w:space="0" w:color="auto"/>
        <w:left w:val="none" w:sz="0" w:space="0" w:color="auto"/>
        <w:bottom w:val="none" w:sz="0" w:space="0" w:color="auto"/>
        <w:right w:val="none" w:sz="0" w:space="0" w:color="auto"/>
      </w:divBdr>
    </w:div>
    <w:div w:id="199246434">
      <w:bodyDiv w:val="1"/>
      <w:marLeft w:val="0"/>
      <w:marRight w:val="0"/>
      <w:marTop w:val="0"/>
      <w:marBottom w:val="0"/>
      <w:divBdr>
        <w:top w:val="none" w:sz="0" w:space="0" w:color="auto"/>
        <w:left w:val="none" w:sz="0" w:space="0" w:color="auto"/>
        <w:bottom w:val="none" w:sz="0" w:space="0" w:color="auto"/>
        <w:right w:val="none" w:sz="0" w:space="0" w:color="auto"/>
      </w:divBdr>
    </w:div>
    <w:div w:id="217975839">
      <w:bodyDiv w:val="1"/>
      <w:marLeft w:val="0"/>
      <w:marRight w:val="0"/>
      <w:marTop w:val="0"/>
      <w:marBottom w:val="0"/>
      <w:divBdr>
        <w:top w:val="none" w:sz="0" w:space="0" w:color="auto"/>
        <w:left w:val="none" w:sz="0" w:space="0" w:color="auto"/>
        <w:bottom w:val="none" w:sz="0" w:space="0" w:color="auto"/>
        <w:right w:val="none" w:sz="0" w:space="0" w:color="auto"/>
      </w:divBdr>
    </w:div>
    <w:div w:id="231432271">
      <w:bodyDiv w:val="1"/>
      <w:marLeft w:val="0"/>
      <w:marRight w:val="0"/>
      <w:marTop w:val="0"/>
      <w:marBottom w:val="0"/>
      <w:divBdr>
        <w:top w:val="none" w:sz="0" w:space="0" w:color="auto"/>
        <w:left w:val="none" w:sz="0" w:space="0" w:color="auto"/>
        <w:bottom w:val="none" w:sz="0" w:space="0" w:color="auto"/>
        <w:right w:val="none" w:sz="0" w:space="0" w:color="auto"/>
      </w:divBdr>
    </w:div>
    <w:div w:id="245111510">
      <w:bodyDiv w:val="1"/>
      <w:marLeft w:val="0"/>
      <w:marRight w:val="0"/>
      <w:marTop w:val="0"/>
      <w:marBottom w:val="0"/>
      <w:divBdr>
        <w:top w:val="none" w:sz="0" w:space="0" w:color="auto"/>
        <w:left w:val="none" w:sz="0" w:space="0" w:color="auto"/>
        <w:bottom w:val="none" w:sz="0" w:space="0" w:color="auto"/>
        <w:right w:val="none" w:sz="0" w:space="0" w:color="auto"/>
      </w:divBdr>
    </w:div>
    <w:div w:id="252590868">
      <w:bodyDiv w:val="1"/>
      <w:marLeft w:val="0"/>
      <w:marRight w:val="0"/>
      <w:marTop w:val="0"/>
      <w:marBottom w:val="0"/>
      <w:divBdr>
        <w:top w:val="none" w:sz="0" w:space="0" w:color="auto"/>
        <w:left w:val="none" w:sz="0" w:space="0" w:color="auto"/>
        <w:bottom w:val="none" w:sz="0" w:space="0" w:color="auto"/>
        <w:right w:val="none" w:sz="0" w:space="0" w:color="auto"/>
      </w:divBdr>
    </w:div>
    <w:div w:id="254442573">
      <w:bodyDiv w:val="1"/>
      <w:marLeft w:val="0"/>
      <w:marRight w:val="0"/>
      <w:marTop w:val="0"/>
      <w:marBottom w:val="0"/>
      <w:divBdr>
        <w:top w:val="none" w:sz="0" w:space="0" w:color="auto"/>
        <w:left w:val="none" w:sz="0" w:space="0" w:color="auto"/>
        <w:bottom w:val="none" w:sz="0" w:space="0" w:color="auto"/>
        <w:right w:val="none" w:sz="0" w:space="0" w:color="auto"/>
      </w:divBdr>
    </w:div>
    <w:div w:id="257754700">
      <w:bodyDiv w:val="1"/>
      <w:marLeft w:val="0"/>
      <w:marRight w:val="0"/>
      <w:marTop w:val="0"/>
      <w:marBottom w:val="0"/>
      <w:divBdr>
        <w:top w:val="none" w:sz="0" w:space="0" w:color="auto"/>
        <w:left w:val="none" w:sz="0" w:space="0" w:color="auto"/>
        <w:bottom w:val="none" w:sz="0" w:space="0" w:color="auto"/>
        <w:right w:val="none" w:sz="0" w:space="0" w:color="auto"/>
      </w:divBdr>
    </w:div>
    <w:div w:id="261569404">
      <w:bodyDiv w:val="1"/>
      <w:marLeft w:val="0"/>
      <w:marRight w:val="0"/>
      <w:marTop w:val="0"/>
      <w:marBottom w:val="0"/>
      <w:divBdr>
        <w:top w:val="none" w:sz="0" w:space="0" w:color="auto"/>
        <w:left w:val="none" w:sz="0" w:space="0" w:color="auto"/>
        <w:bottom w:val="none" w:sz="0" w:space="0" w:color="auto"/>
        <w:right w:val="none" w:sz="0" w:space="0" w:color="auto"/>
      </w:divBdr>
    </w:div>
    <w:div w:id="265620929">
      <w:bodyDiv w:val="1"/>
      <w:marLeft w:val="0"/>
      <w:marRight w:val="0"/>
      <w:marTop w:val="0"/>
      <w:marBottom w:val="0"/>
      <w:divBdr>
        <w:top w:val="none" w:sz="0" w:space="0" w:color="auto"/>
        <w:left w:val="none" w:sz="0" w:space="0" w:color="auto"/>
        <w:bottom w:val="none" w:sz="0" w:space="0" w:color="auto"/>
        <w:right w:val="none" w:sz="0" w:space="0" w:color="auto"/>
      </w:divBdr>
    </w:div>
    <w:div w:id="293560708">
      <w:bodyDiv w:val="1"/>
      <w:marLeft w:val="0"/>
      <w:marRight w:val="0"/>
      <w:marTop w:val="0"/>
      <w:marBottom w:val="0"/>
      <w:divBdr>
        <w:top w:val="none" w:sz="0" w:space="0" w:color="auto"/>
        <w:left w:val="none" w:sz="0" w:space="0" w:color="auto"/>
        <w:bottom w:val="none" w:sz="0" w:space="0" w:color="auto"/>
        <w:right w:val="none" w:sz="0" w:space="0" w:color="auto"/>
      </w:divBdr>
    </w:div>
    <w:div w:id="296225497">
      <w:bodyDiv w:val="1"/>
      <w:marLeft w:val="0"/>
      <w:marRight w:val="0"/>
      <w:marTop w:val="0"/>
      <w:marBottom w:val="0"/>
      <w:divBdr>
        <w:top w:val="none" w:sz="0" w:space="0" w:color="auto"/>
        <w:left w:val="none" w:sz="0" w:space="0" w:color="auto"/>
        <w:bottom w:val="none" w:sz="0" w:space="0" w:color="auto"/>
        <w:right w:val="none" w:sz="0" w:space="0" w:color="auto"/>
      </w:divBdr>
    </w:div>
    <w:div w:id="310596071">
      <w:bodyDiv w:val="1"/>
      <w:marLeft w:val="0"/>
      <w:marRight w:val="0"/>
      <w:marTop w:val="0"/>
      <w:marBottom w:val="0"/>
      <w:divBdr>
        <w:top w:val="none" w:sz="0" w:space="0" w:color="auto"/>
        <w:left w:val="none" w:sz="0" w:space="0" w:color="auto"/>
        <w:bottom w:val="none" w:sz="0" w:space="0" w:color="auto"/>
        <w:right w:val="none" w:sz="0" w:space="0" w:color="auto"/>
      </w:divBdr>
    </w:div>
    <w:div w:id="318656047">
      <w:bodyDiv w:val="1"/>
      <w:marLeft w:val="0"/>
      <w:marRight w:val="0"/>
      <w:marTop w:val="0"/>
      <w:marBottom w:val="0"/>
      <w:divBdr>
        <w:top w:val="none" w:sz="0" w:space="0" w:color="auto"/>
        <w:left w:val="none" w:sz="0" w:space="0" w:color="auto"/>
        <w:bottom w:val="none" w:sz="0" w:space="0" w:color="auto"/>
        <w:right w:val="none" w:sz="0" w:space="0" w:color="auto"/>
      </w:divBdr>
    </w:div>
    <w:div w:id="338965981">
      <w:bodyDiv w:val="1"/>
      <w:marLeft w:val="0"/>
      <w:marRight w:val="0"/>
      <w:marTop w:val="0"/>
      <w:marBottom w:val="0"/>
      <w:divBdr>
        <w:top w:val="none" w:sz="0" w:space="0" w:color="auto"/>
        <w:left w:val="none" w:sz="0" w:space="0" w:color="auto"/>
        <w:bottom w:val="none" w:sz="0" w:space="0" w:color="auto"/>
        <w:right w:val="none" w:sz="0" w:space="0" w:color="auto"/>
      </w:divBdr>
    </w:div>
    <w:div w:id="362025168">
      <w:bodyDiv w:val="1"/>
      <w:marLeft w:val="0"/>
      <w:marRight w:val="0"/>
      <w:marTop w:val="0"/>
      <w:marBottom w:val="0"/>
      <w:divBdr>
        <w:top w:val="none" w:sz="0" w:space="0" w:color="auto"/>
        <w:left w:val="none" w:sz="0" w:space="0" w:color="auto"/>
        <w:bottom w:val="none" w:sz="0" w:space="0" w:color="auto"/>
        <w:right w:val="none" w:sz="0" w:space="0" w:color="auto"/>
      </w:divBdr>
    </w:div>
    <w:div w:id="364258493">
      <w:bodyDiv w:val="1"/>
      <w:marLeft w:val="0"/>
      <w:marRight w:val="0"/>
      <w:marTop w:val="0"/>
      <w:marBottom w:val="0"/>
      <w:divBdr>
        <w:top w:val="none" w:sz="0" w:space="0" w:color="auto"/>
        <w:left w:val="none" w:sz="0" w:space="0" w:color="auto"/>
        <w:bottom w:val="none" w:sz="0" w:space="0" w:color="auto"/>
        <w:right w:val="none" w:sz="0" w:space="0" w:color="auto"/>
      </w:divBdr>
    </w:div>
    <w:div w:id="377170171">
      <w:bodyDiv w:val="1"/>
      <w:marLeft w:val="0"/>
      <w:marRight w:val="0"/>
      <w:marTop w:val="0"/>
      <w:marBottom w:val="0"/>
      <w:divBdr>
        <w:top w:val="none" w:sz="0" w:space="0" w:color="auto"/>
        <w:left w:val="none" w:sz="0" w:space="0" w:color="auto"/>
        <w:bottom w:val="none" w:sz="0" w:space="0" w:color="auto"/>
        <w:right w:val="none" w:sz="0" w:space="0" w:color="auto"/>
      </w:divBdr>
    </w:div>
    <w:div w:id="403838429">
      <w:bodyDiv w:val="1"/>
      <w:marLeft w:val="0"/>
      <w:marRight w:val="0"/>
      <w:marTop w:val="0"/>
      <w:marBottom w:val="0"/>
      <w:divBdr>
        <w:top w:val="none" w:sz="0" w:space="0" w:color="auto"/>
        <w:left w:val="none" w:sz="0" w:space="0" w:color="auto"/>
        <w:bottom w:val="none" w:sz="0" w:space="0" w:color="auto"/>
        <w:right w:val="none" w:sz="0" w:space="0" w:color="auto"/>
      </w:divBdr>
    </w:div>
    <w:div w:id="419721551">
      <w:bodyDiv w:val="1"/>
      <w:marLeft w:val="0"/>
      <w:marRight w:val="0"/>
      <w:marTop w:val="0"/>
      <w:marBottom w:val="0"/>
      <w:divBdr>
        <w:top w:val="none" w:sz="0" w:space="0" w:color="auto"/>
        <w:left w:val="none" w:sz="0" w:space="0" w:color="auto"/>
        <w:bottom w:val="none" w:sz="0" w:space="0" w:color="auto"/>
        <w:right w:val="none" w:sz="0" w:space="0" w:color="auto"/>
      </w:divBdr>
    </w:div>
    <w:div w:id="433597749">
      <w:bodyDiv w:val="1"/>
      <w:marLeft w:val="0"/>
      <w:marRight w:val="0"/>
      <w:marTop w:val="0"/>
      <w:marBottom w:val="0"/>
      <w:divBdr>
        <w:top w:val="none" w:sz="0" w:space="0" w:color="auto"/>
        <w:left w:val="none" w:sz="0" w:space="0" w:color="auto"/>
        <w:bottom w:val="none" w:sz="0" w:space="0" w:color="auto"/>
        <w:right w:val="none" w:sz="0" w:space="0" w:color="auto"/>
      </w:divBdr>
    </w:div>
    <w:div w:id="435909731">
      <w:bodyDiv w:val="1"/>
      <w:marLeft w:val="0"/>
      <w:marRight w:val="0"/>
      <w:marTop w:val="0"/>
      <w:marBottom w:val="0"/>
      <w:divBdr>
        <w:top w:val="none" w:sz="0" w:space="0" w:color="auto"/>
        <w:left w:val="none" w:sz="0" w:space="0" w:color="auto"/>
        <w:bottom w:val="none" w:sz="0" w:space="0" w:color="auto"/>
        <w:right w:val="none" w:sz="0" w:space="0" w:color="auto"/>
      </w:divBdr>
    </w:div>
    <w:div w:id="446461652">
      <w:bodyDiv w:val="1"/>
      <w:marLeft w:val="0"/>
      <w:marRight w:val="0"/>
      <w:marTop w:val="0"/>
      <w:marBottom w:val="0"/>
      <w:divBdr>
        <w:top w:val="none" w:sz="0" w:space="0" w:color="auto"/>
        <w:left w:val="none" w:sz="0" w:space="0" w:color="auto"/>
        <w:bottom w:val="none" w:sz="0" w:space="0" w:color="auto"/>
        <w:right w:val="none" w:sz="0" w:space="0" w:color="auto"/>
      </w:divBdr>
    </w:div>
    <w:div w:id="457377179">
      <w:bodyDiv w:val="1"/>
      <w:marLeft w:val="0"/>
      <w:marRight w:val="0"/>
      <w:marTop w:val="0"/>
      <w:marBottom w:val="0"/>
      <w:divBdr>
        <w:top w:val="none" w:sz="0" w:space="0" w:color="auto"/>
        <w:left w:val="none" w:sz="0" w:space="0" w:color="auto"/>
        <w:bottom w:val="none" w:sz="0" w:space="0" w:color="auto"/>
        <w:right w:val="none" w:sz="0" w:space="0" w:color="auto"/>
      </w:divBdr>
    </w:div>
    <w:div w:id="460222982">
      <w:bodyDiv w:val="1"/>
      <w:marLeft w:val="0"/>
      <w:marRight w:val="0"/>
      <w:marTop w:val="0"/>
      <w:marBottom w:val="0"/>
      <w:divBdr>
        <w:top w:val="none" w:sz="0" w:space="0" w:color="auto"/>
        <w:left w:val="none" w:sz="0" w:space="0" w:color="auto"/>
        <w:bottom w:val="none" w:sz="0" w:space="0" w:color="auto"/>
        <w:right w:val="none" w:sz="0" w:space="0" w:color="auto"/>
      </w:divBdr>
    </w:div>
    <w:div w:id="465859952">
      <w:bodyDiv w:val="1"/>
      <w:marLeft w:val="0"/>
      <w:marRight w:val="0"/>
      <w:marTop w:val="0"/>
      <w:marBottom w:val="0"/>
      <w:divBdr>
        <w:top w:val="none" w:sz="0" w:space="0" w:color="auto"/>
        <w:left w:val="none" w:sz="0" w:space="0" w:color="auto"/>
        <w:bottom w:val="none" w:sz="0" w:space="0" w:color="auto"/>
        <w:right w:val="none" w:sz="0" w:space="0" w:color="auto"/>
      </w:divBdr>
    </w:div>
    <w:div w:id="467089064">
      <w:bodyDiv w:val="1"/>
      <w:marLeft w:val="0"/>
      <w:marRight w:val="0"/>
      <w:marTop w:val="0"/>
      <w:marBottom w:val="0"/>
      <w:divBdr>
        <w:top w:val="none" w:sz="0" w:space="0" w:color="auto"/>
        <w:left w:val="none" w:sz="0" w:space="0" w:color="auto"/>
        <w:bottom w:val="none" w:sz="0" w:space="0" w:color="auto"/>
        <w:right w:val="none" w:sz="0" w:space="0" w:color="auto"/>
      </w:divBdr>
    </w:div>
    <w:div w:id="469442763">
      <w:bodyDiv w:val="1"/>
      <w:marLeft w:val="0"/>
      <w:marRight w:val="0"/>
      <w:marTop w:val="0"/>
      <w:marBottom w:val="0"/>
      <w:divBdr>
        <w:top w:val="none" w:sz="0" w:space="0" w:color="auto"/>
        <w:left w:val="none" w:sz="0" w:space="0" w:color="auto"/>
        <w:bottom w:val="none" w:sz="0" w:space="0" w:color="auto"/>
        <w:right w:val="none" w:sz="0" w:space="0" w:color="auto"/>
      </w:divBdr>
    </w:div>
    <w:div w:id="471143598">
      <w:bodyDiv w:val="1"/>
      <w:marLeft w:val="0"/>
      <w:marRight w:val="0"/>
      <w:marTop w:val="0"/>
      <w:marBottom w:val="0"/>
      <w:divBdr>
        <w:top w:val="none" w:sz="0" w:space="0" w:color="auto"/>
        <w:left w:val="none" w:sz="0" w:space="0" w:color="auto"/>
        <w:bottom w:val="none" w:sz="0" w:space="0" w:color="auto"/>
        <w:right w:val="none" w:sz="0" w:space="0" w:color="auto"/>
      </w:divBdr>
    </w:div>
    <w:div w:id="577137046">
      <w:bodyDiv w:val="1"/>
      <w:marLeft w:val="0"/>
      <w:marRight w:val="0"/>
      <w:marTop w:val="0"/>
      <w:marBottom w:val="0"/>
      <w:divBdr>
        <w:top w:val="none" w:sz="0" w:space="0" w:color="auto"/>
        <w:left w:val="none" w:sz="0" w:space="0" w:color="auto"/>
        <w:bottom w:val="none" w:sz="0" w:space="0" w:color="auto"/>
        <w:right w:val="none" w:sz="0" w:space="0" w:color="auto"/>
      </w:divBdr>
    </w:div>
    <w:div w:id="585456067">
      <w:bodyDiv w:val="1"/>
      <w:marLeft w:val="0"/>
      <w:marRight w:val="0"/>
      <w:marTop w:val="0"/>
      <w:marBottom w:val="0"/>
      <w:divBdr>
        <w:top w:val="none" w:sz="0" w:space="0" w:color="auto"/>
        <w:left w:val="none" w:sz="0" w:space="0" w:color="auto"/>
        <w:bottom w:val="none" w:sz="0" w:space="0" w:color="auto"/>
        <w:right w:val="none" w:sz="0" w:space="0" w:color="auto"/>
      </w:divBdr>
    </w:div>
    <w:div w:id="594703014">
      <w:bodyDiv w:val="1"/>
      <w:marLeft w:val="0"/>
      <w:marRight w:val="0"/>
      <w:marTop w:val="0"/>
      <w:marBottom w:val="0"/>
      <w:divBdr>
        <w:top w:val="none" w:sz="0" w:space="0" w:color="auto"/>
        <w:left w:val="none" w:sz="0" w:space="0" w:color="auto"/>
        <w:bottom w:val="none" w:sz="0" w:space="0" w:color="auto"/>
        <w:right w:val="none" w:sz="0" w:space="0" w:color="auto"/>
      </w:divBdr>
    </w:div>
    <w:div w:id="611941843">
      <w:bodyDiv w:val="1"/>
      <w:marLeft w:val="0"/>
      <w:marRight w:val="0"/>
      <w:marTop w:val="0"/>
      <w:marBottom w:val="0"/>
      <w:divBdr>
        <w:top w:val="none" w:sz="0" w:space="0" w:color="auto"/>
        <w:left w:val="none" w:sz="0" w:space="0" w:color="auto"/>
        <w:bottom w:val="none" w:sz="0" w:space="0" w:color="auto"/>
        <w:right w:val="none" w:sz="0" w:space="0" w:color="auto"/>
      </w:divBdr>
    </w:div>
    <w:div w:id="614409259">
      <w:bodyDiv w:val="1"/>
      <w:marLeft w:val="0"/>
      <w:marRight w:val="0"/>
      <w:marTop w:val="0"/>
      <w:marBottom w:val="0"/>
      <w:divBdr>
        <w:top w:val="none" w:sz="0" w:space="0" w:color="auto"/>
        <w:left w:val="none" w:sz="0" w:space="0" w:color="auto"/>
        <w:bottom w:val="none" w:sz="0" w:space="0" w:color="auto"/>
        <w:right w:val="none" w:sz="0" w:space="0" w:color="auto"/>
      </w:divBdr>
    </w:div>
    <w:div w:id="626664249">
      <w:bodyDiv w:val="1"/>
      <w:marLeft w:val="0"/>
      <w:marRight w:val="0"/>
      <w:marTop w:val="0"/>
      <w:marBottom w:val="0"/>
      <w:divBdr>
        <w:top w:val="none" w:sz="0" w:space="0" w:color="auto"/>
        <w:left w:val="none" w:sz="0" w:space="0" w:color="auto"/>
        <w:bottom w:val="none" w:sz="0" w:space="0" w:color="auto"/>
        <w:right w:val="none" w:sz="0" w:space="0" w:color="auto"/>
      </w:divBdr>
    </w:div>
    <w:div w:id="641811274">
      <w:bodyDiv w:val="1"/>
      <w:marLeft w:val="0"/>
      <w:marRight w:val="0"/>
      <w:marTop w:val="0"/>
      <w:marBottom w:val="0"/>
      <w:divBdr>
        <w:top w:val="none" w:sz="0" w:space="0" w:color="auto"/>
        <w:left w:val="none" w:sz="0" w:space="0" w:color="auto"/>
        <w:bottom w:val="none" w:sz="0" w:space="0" w:color="auto"/>
        <w:right w:val="none" w:sz="0" w:space="0" w:color="auto"/>
      </w:divBdr>
    </w:div>
    <w:div w:id="647513762">
      <w:bodyDiv w:val="1"/>
      <w:marLeft w:val="0"/>
      <w:marRight w:val="0"/>
      <w:marTop w:val="0"/>
      <w:marBottom w:val="0"/>
      <w:divBdr>
        <w:top w:val="none" w:sz="0" w:space="0" w:color="auto"/>
        <w:left w:val="none" w:sz="0" w:space="0" w:color="auto"/>
        <w:bottom w:val="none" w:sz="0" w:space="0" w:color="auto"/>
        <w:right w:val="none" w:sz="0" w:space="0" w:color="auto"/>
      </w:divBdr>
    </w:div>
    <w:div w:id="688068363">
      <w:bodyDiv w:val="1"/>
      <w:marLeft w:val="0"/>
      <w:marRight w:val="0"/>
      <w:marTop w:val="0"/>
      <w:marBottom w:val="0"/>
      <w:divBdr>
        <w:top w:val="none" w:sz="0" w:space="0" w:color="auto"/>
        <w:left w:val="none" w:sz="0" w:space="0" w:color="auto"/>
        <w:bottom w:val="none" w:sz="0" w:space="0" w:color="auto"/>
        <w:right w:val="none" w:sz="0" w:space="0" w:color="auto"/>
      </w:divBdr>
    </w:div>
    <w:div w:id="691230002">
      <w:bodyDiv w:val="1"/>
      <w:marLeft w:val="0"/>
      <w:marRight w:val="0"/>
      <w:marTop w:val="0"/>
      <w:marBottom w:val="0"/>
      <w:divBdr>
        <w:top w:val="none" w:sz="0" w:space="0" w:color="auto"/>
        <w:left w:val="none" w:sz="0" w:space="0" w:color="auto"/>
        <w:bottom w:val="none" w:sz="0" w:space="0" w:color="auto"/>
        <w:right w:val="none" w:sz="0" w:space="0" w:color="auto"/>
      </w:divBdr>
    </w:div>
    <w:div w:id="737216310">
      <w:bodyDiv w:val="1"/>
      <w:marLeft w:val="0"/>
      <w:marRight w:val="0"/>
      <w:marTop w:val="0"/>
      <w:marBottom w:val="0"/>
      <w:divBdr>
        <w:top w:val="none" w:sz="0" w:space="0" w:color="auto"/>
        <w:left w:val="none" w:sz="0" w:space="0" w:color="auto"/>
        <w:bottom w:val="none" w:sz="0" w:space="0" w:color="auto"/>
        <w:right w:val="none" w:sz="0" w:space="0" w:color="auto"/>
      </w:divBdr>
    </w:div>
    <w:div w:id="739132876">
      <w:bodyDiv w:val="1"/>
      <w:marLeft w:val="0"/>
      <w:marRight w:val="0"/>
      <w:marTop w:val="0"/>
      <w:marBottom w:val="0"/>
      <w:divBdr>
        <w:top w:val="none" w:sz="0" w:space="0" w:color="auto"/>
        <w:left w:val="none" w:sz="0" w:space="0" w:color="auto"/>
        <w:bottom w:val="none" w:sz="0" w:space="0" w:color="auto"/>
        <w:right w:val="none" w:sz="0" w:space="0" w:color="auto"/>
      </w:divBdr>
    </w:div>
    <w:div w:id="742725439">
      <w:bodyDiv w:val="1"/>
      <w:marLeft w:val="0"/>
      <w:marRight w:val="0"/>
      <w:marTop w:val="0"/>
      <w:marBottom w:val="0"/>
      <w:divBdr>
        <w:top w:val="none" w:sz="0" w:space="0" w:color="auto"/>
        <w:left w:val="none" w:sz="0" w:space="0" w:color="auto"/>
        <w:bottom w:val="none" w:sz="0" w:space="0" w:color="auto"/>
        <w:right w:val="none" w:sz="0" w:space="0" w:color="auto"/>
      </w:divBdr>
    </w:div>
    <w:div w:id="757824440">
      <w:bodyDiv w:val="1"/>
      <w:marLeft w:val="0"/>
      <w:marRight w:val="0"/>
      <w:marTop w:val="0"/>
      <w:marBottom w:val="0"/>
      <w:divBdr>
        <w:top w:val="none" w:sz="0" w:space="0" w:color="auto"/>
        <w:left w:val="none" w:sz="0" w:space="0" w:color="auto"/>
        <w:bottom w:val="none" w:sz="0" w:space="0" w:color="auto"/>
        <w:right w:val="none" w:sz="0" w:space="0" w:color="auto"/>
      </w:divBdr>
    </w:div>
    <w:div w:id="758136875">
      <w:bodyDiv w:val="1"/>
      <w:marLeft w:val="0"/>
      <w:marRight w:val="0"/>
      <w:marTop w:val="0"/>
      <w:marBottom w:val="0"/>
      <w:divBdr>
        <w:top w:val="none" w:sz="0" w:space="0" w:color="auto"/>
        <w:left w:val="none" w:sz="0" w:space="0" w:color="auto"/>
        <w:bottom w:val="none" w:sz="0" w:space="0" w:color="auto"/>
        <w:right w:val="none" w:sz="0" w:space="0" w:color="auto"/>
      </w:divBdr>
    </w:div>
    <w:div w:id="775448701">
      <w:bodyDiv w:val="1"/>
      <w:marLeft w:val="0"/>
      <w:marRight w:val="0"/>
      <w:marTop w:val="0"/>
      <w:marBottom w:val="0"/>
      <w:divBdr>
        <w:top w:val="none" w:sz="0" w:space="0" w:color="auto"/>
        <w:left w:val="none" w:sz="0" w:space="0" w:color="auto"/>
        <w:bottom w:val="none" w:sz="0" w:space="0" w:color="auto"/>
        <w:right w:val="none" w:sz="0" w:space="0" w:color="auto"/>
      </w:divBdr>
    </w:div>
    <w:div w:id="780493553">
      <w:bodyDiv w:val="1"/>
      <w:marLeft w:val="0"/>
      <w:marRight w:val="0"/>
      <w:marTop w:val="0"/>
      <w:marBottom w:val="0"/>
      <w:divBdr>
        <w:top w:val="none" w:sz="0" w:space="0" w:color="auto"/>
        <w:left w:val="none" w:sz="0" w:space="0" w:color="auto"/>
        <w:bottom w:val="none" w:sz="0" w:space="0" w:color="auto"/>
        <w:right w:val="none" w:sz="0" w:space="0" w:color="auto"/>
      </w:divBdr>
    </w:div>
    <w:div w:id="785003012">
      <w:bodyDiv w:val="1"/>
      <w:marLeft w:val="0"/>
      <w:marRight w:val="0"/>
      <w:marTop w:val="0"/>
      <w:marBottom w:val="0"/>
      <w:divBdr>
        <w:top w:val="none" w:sz="0" w:space="0" w:color="auto"/>
        <w:left w:val="none" w:sz="0" w:space="0" w:color="auto"/>
        <w:bottom w:val="none" w:sz="0" w:space="0" w:color="auto"/>
        <w:right w:val="none" w:sz="0" w:space="0" w:color="auto"/>
      </w:divBdr>
    </w:div>
    <w:div w:id="789513714">
      <w:bodyDiv w:val="1"/>
      <w:marLeft w:val="0"/>
      <w:marRight w:val="0"/>
      <w:marTop w:val="0"/>
      <w:marBottom w:val="0"/>
      <w:divBdr>
        <w:top w:val="none" w:sz="0" w:space="0" w:color="auto"/>
        <w:left w:val="none" w:sz="0" w:space="0" w:color="auto"/>
        <w:bottom w:val="none" w:sz="0" w:space="0" w:color="auto"/>
        <w:right w:val="none" w:sz="0" w:space="0" w:color="auto"/>
      </w:divBdr>
    </w:div>
    <w:div w:id="795635198">
      <w:bodyDiv w:val="1"/>
      <w:marLeft w:val="0"/>
      <w:marRight w:val="0"/>
      <w:marTop w:val="0"/>
      <w:marBottom w:val="0"/>
      <w:divBdr>
        <w:top w:val="none" w:sz="0" w:space="0" w:color="auto"/>
        <w:left w:val="none" w:sz="0" w:space="0" w:color="auto"/>
        <w:bottom w:val="none" w:sz="0" w:space="0" w:color="auto"/>
        <w:right w:val="none" w:sz="0" w:space="0" w:color="auto"/>
      </w:divBdr>
    </w:div>
    <w:div w:id="799617368">
      <w:bodyDiv w:val="1"/>
      <w:marLeft w:val="0"/>
      <w:marRight w:val="0"/>
      <w:marTop w:val="0"/>
      <w:marBottom w:val="0"/>
      <w:divBdr>
        <w:top w:val="none" w:sz="0" w:space="0" w:color="auto"/>
        <w:left w:val="none" w:sz="0" w:space="0" w:color="auto"/>
        <w:bottom w:val="none" w:sz="0" w:space="0" w:color="auto"/>
        <w:right w:val="none" w:sz="0" w:space="0" w:color="auto"/>
      </w:divBdr>
    </w:div>
    <w:div w:id="800072350">
      <w:bodyDiv w:val="1"/>
      <w:marLeft w:val="0"/>
      <w:marRight w:val="0"/>
      <w:marTop w:val="0"/>
      <w:marBottom w:val="0"/>
      <w:divBdr>
        <w:top w:val="none" w:sz="0" w:space="0" w:color="auto"/>
        <w:left w:val="none" w:sz="0" w:space="0" w:color="auto"/>
        <w:bottom w:val="none" w:sz="0" w:space="0" w:color="auto"/>
        <w:right w:val="none" w:sz="0" w:space="0" w:color="auto"/>
      </w:divBdr>
    </w:div>
    <w:div w:id="833641231">
      <w:bodyDiv w:val="1"/>
      <w:marLeft w:val="0"/>
      <w:marRight w:val="0"/>
      <w:marTop w:val="0"/>
      <w:marBottom w:val="0"/>
      <w:divBdr>
        <w:top w:val="none" w:sz="0" w:space="0" w:color="auto"/>
        <w:left w:val="none" w:sz="0" w:space="0" w:color="auto"/>
        <w:bottom w:val="none" w:sz="0" w:space="0" w:color="auto"/>
        <w:right w:val="none" w:sz="0" w:space="0" w:color="auto"/>
      </w:divBdr>
    </w:div>
    <w:div w:id="846478017">
      <w:bodyDiv w:val="1"/>
      <w:marLeft w:val="0"/>
      <w:marRight w:val="0"/>
      <w:marTop w:val="0"/>
      <w:marBottom w:val="0"/>
      <w:divBdr>
        <w:top w:val="none" w:sz="0" w:space="0" w:color="auto"/>
        <w:left w:val="none" w:sz="0" w:space="0" w:color="auto"/>
        <w:bottom w:val="none" w:sz="0" w:space="0" w:color="auto"/>
        <w:right w:val="none" w:sz="0" w:space="0" w:color="auto"/>
      </w:divBdr>
    </w:div>
    <w:div w:id="849484579">
      <w:bodyDiv w:val="1"/>
      <w:marLeft w:val="0"/>
      <w:marRight w:val="0"/>
      <w:marTop w:val="0"/>
      <w:marBottom w:val="0"/>
      <w:divBdr>
        <w:top w:val="none" w:sz="0" w:space="0" w:color="auto"/>
        <w:left w:val="none" w:sz="0" w:space="0" w:color="auto"/>
        <w:bottom w:val="none" w:sz="0" w:space="0" w:color="auto"/>
        <w:right w:val="none" w:sz="0" w:space="0" w:color="auto"/>
      </w:divBdr>
    </w:div>
    <w:div w:id="867328083">
      <w:bodyDiv w:val="1"/>
      <w:marLeft w:val="0"/>
      <w:marRight w:val="0"/>
      <w:marTop w:val="0"/>
      <w:marBottom w:val="0"/>
      <w:divBdr>
        <w:top w:val="none" w:sz="0" w:space="0" w:color="auto"/>
        <w:left w:val="none" w:sz="0" w:space="0" w:color="auto"/>
        <w:bottom w:val="none" w:sz="0" w:space="0" w:color="auto"/>
        <w:right w:val="none" w:sz="0" w:space="0" w:color="auto"/>
      </w:divBdr>
    </w:div>
    <w:div w:id="869608396">
      <w:bodyDiv w:val="1"/>
      <w:marLeft w:val="0"/>
      <w:marRight w:val="0"/>
      <w:marTop w:val="0"/>
      <w:marBottom w:val="0"/>
      <w:divBdr>
        <w:top w:val="none" w:sz="0" w:space="0" w:color="auto"/>
        <w:left w:val="none" w:sz="0" w:space="0" w:color="auto"/>
        <w:bottom w:val="none" w:sz="0" w:space="0" w:color="auto"/>
        <w:right w:val="none" w:sz="0" w:space="0" w:color="auto"/>
      </w:divBdr>
    </w:div>
    <w:div w:id="871117066">
      <w:bodyDiv w:val="1"/>
      <w:marLeft w:val="0"/>
      <w:marRight w:val="0"/>
      <w:marTop w:val="0"/>
      <w:marBottom w:val="0"/>
      <w:divBdr>
        <w:top w:val="none" w:sz="0" w:space="0" w:color="auto"/>
        <w:left w:val="none" w:sz="0" w:space="0" w:color="auto"/>
        <w:bottom w:val="none" w:sz="0" w:space="0" w:color="auto"/>
        <w:right w:val="none" w:sz="0" w:space="0" w:color="auto"/>
      </w:divBdr>
    </w:div>
    <w:div w:id="879785619">
      <w:bodyDiv w:val="1"/>
      <w:marLeft w:val="0"/>
      <w:marRight w:val="0"/>
      <w:marTop w:val="0"/>
      <w:marBottom w:val="0"/>
      <w:divBdr>
        <w:top w:val="none" w:sz="0" w:space="0" w:color="auto"/>
        <w:left w:val="none" w:sz="0" w:space="0" w:color="auto"/>
        <w:bottom w:val="none" w:sz="0" w:space="0" w:color="auto"/>
        <w:right w:val="none" w:sz="0" w:space="0" w:color="auto"/>
      </w:divBdr>
    </w:div>
    <w:div w:id="904528247">
      <w:bodyDiv w:val="1"/>
      <w:marLeft w:val="0"/>
      <w:marRight w:val="0"/>
      <w:marTop w:val="0"/>
      <w:marBottom w:val="0"/>
      <w:divBdr>
        <w:top w:val="none" w:sz="0" w:space="0" w:color="auto"/>
        <w:left w:val="none" w:sz="0" w:space="0" w:color="auto"/>
        <w:bottom w:val="none" w:sz="0" w:space="0" w:color="auto"/>
        <w:right w:val="none" w:sz="0" w:space="0" w:color="auto"/>
      </w:divBdr>
    </w:div>
    <w:div w:id="905456879">
      <w:bodyDiv w:val="1"/>
      <w:marLeft w:val="0"/>
      <w:marRight w:val="0"/>
      <w:marTop w:val="0"/>
      <w:marBottom w:val="0"/>
      <w:divBdr>
        <w:top w:val="none" w:sz="0" w:space="0" w:color="auto"/>
        <w:left w:val="none" w:sz="0" w:space="0" w:color="auto"/>
        <w:bottom w:val="none" w:sz="0" w:space="0" w:color="auto"/>
        <w:right w:val="none" w:sz="0" w:space="0" w:color="auto"/>
      </w:divBdr>
    </w:div>
    <w:div w:id="932057066">
      <w:bodyDiv w:val="1"/>
      <w:marLeft w:val="0"/>
      <w:marRight w:val="0"/>
      <w:marTop w:val="0"/>
      <w:marBottom w:val="0"/>
      <w:divBdr>
        <w:top w:val="none" w:sz="0" w:space="0" w:color="auto"/>
        <w:left w:val="none" w:sz="0" w:space="0" w:color="auto"/>
        <w:bottom w:val="none" w:sz="0" w:space="0" w:color="auto"/>
        <w:right w:val="none" w:sz="0" w:space="0" w:color="auto"/>
      </w:divBdr>
    </w:div>
    <w:div w:id="966666683">
      <w:bodyDiv w:val="1"/>
      <w:marLeft w:val="0"/>
      <w:marRight w:val="0"/>
      <w:marTop w:val="0"/>
      <w:marBottom w:val="0"/>
      <w:divBdr>
        <w:top w:val="none" w:sz="0" w:space="0" w:color="auto"/>
        <w:left w:val="none" w:sz="0" w:space="0" w:color="auto"/>
        <w:bottom w:val="none" w:sz="0" w:space="0" w:color="auto"/>
        <w:right w:val="none" w:sz="0" w:space="0" w:color="auto"/>
      </w:divBdr>
    </w:div>
    <w:div w:id="977339111">
      <w:bodyDiv w:val="1"/>
      <w:marLeft w:val="0"/>
      <w:marRight w:val="0"/>
      <w:marTop w:val="0"/>
      <w:marBottom w:val="0"/>
      <w:divBdr>
        <w:top w:val="none" w:sz="0" w:space="0" w:color="auto"/>
        <w:left w:val="none" w:sz="0" w:space="0" w:color="auto"/>
        <w:bottom w:val="none" w:sz="0" w:space="0" w:color="auto"/>
        <w:right w:val="none" w:sz="0" w:space="0" w:color="auto"/>
      </w:divBdr>
    </w:div>
    <w:div w:id="991905962">
      <w:bodyDiv w:val="1"/>
      <w:marLeft w:val="0"/>
      <w:marRight w:val="0"/>
      <w:marTop w:val="0"/>
      <w:marBottom w:val="0"/>
      <w:divBdr>
        <w:top w:val="none" w:sz="0" w:space="0" w:color="auto"/>
        <w:left w:val="none" w:sz="0" w:space="0" w:color="auto"/>
        <w:bottom w:val="none" w:sz="0" w:space="0" w:color="auto"/>
        <w:right w:val="none" w:sz="0" w:space="0" w:color="auto"/>
      </w:divBdr>
    </w:div>
    <w:div w:id="1018312469">
      <w:bodyDiv w:val="1"/>
      <w:marLeft w:val="0"/>
      <w:marRight w:val="0"/>
      <w:marTop w:val="0"/>
      <w:marBottom w:val="0"/>
      <w:divBdr>
        <w:top w:val="none" w:sz="0" w:space="0" w:color="auto"/>
        <w:left w:val="none" w:sz="0" w:space="0" w:color="auto"/>
        <w:bottom w:val="none" w:sz="0" w:space="0" w:color="auto"/>
        <w:right w:val="none" w:sz="0" w:space="0" w:color="auto"/>
      </w:divBdr>
    </w:div>
    <w:div w:id="1018845805">
      <w:bodyDiv w:val="1"/>
      <w:marLeft w:val="0"/>
      <w:marRight w:val="0"/>
      <w:marTop w:val="0"/>
      <w:marBottom w:val="0"/>
      <w:divBdr>
        <w:top w:val="none" w:sz="0" w:space="0" w:color="auto"/>
        <w:left w:val="none" w:sz="0" w:space="0" w:color="auto"/>
        <w:bottom w:val="none" w:sz="0" w:space="0" w:color="auto"/>
        <w:right w:val="none" w:sz="0" w:space="0" w:color="auto"/>
      </w:divBdr>
    </w:div>
    <w:div w:id="1023553184">
      <w:bodyDiv w:val="1"/>
      <w:marLeft w:val="0"/>
      <w:marRight w:val="0"/>
      <w:marTop w:val="0"/>
      <w:marBottom w:val="0"/>
      <w:divBdr>
        <w:top w:val="none" w:sz="0" w:space="0" w:color="auto"/>
        <w:left w:val="none" w:sz="0" w:space="0" w:color="auto"/>
        <w:bottom w:val="none" w:sz="0" w:space="0" w:color="auto"/>
        <w:right w:val="none" w:sz="0" w:space="0" w:color="auto"/>
      </w:divBdr>
    </w:div>
    <w:div w:id="1027487023">
      <w:bodyDiv w:val="1"/>
      <w:marLeft w:val="0"/>
      <w:marRight w:val="0"/>
      <w:marTop w:val="0"/>
      <w:marBottom w:val="0"/>
      <w:divBdr>
        <w:top w:val="none" w:sz="0" w:space="0" w:color="auto"/>
        <w:left w:val="none" w:sz="0" w:space="0" w:color="auto"/>
        <w:bottom w:val="none" w:sz="0" w:space="0" w:color="auto"/>
        <w:right w:val="none" w:sz="0" w:space="0" w:color="auto"/>
      </w:divBdr>
    </w:div>
    <w:div w:id="1034158682">
      <w:bodyDiv w:val="1"/>
      <w:marLeft w:val="0"/>
      <w:marRight w:val="0"/>
      <w:marTop w:val="0"/>
      <w:marBottom w:val="0"/>
      <w:divBdr>
        <w:top w:val="none" w:sz="0" w:space="0" w:color="auto"/>
        <w:left w:val="none" w:sz="0" w:space="0" w:color="auto"/>
        <w:bottom w:val="none" w:sz="0" w:space="0" w:color="auto"/>
        <w:right w:val="none" w:sz="0" w:space="0" w:color="auto"/>
      </w:divBdr>
    </w:div>
    <w:div w:id="1046946964">
      <w:bodyDiv w:val="1"/>
      <w:marLeft w:val="0"/>
      <w:marRight w:val="0"/>
      <w:marTop w:val="0"/>
      <w:marBottom w:val="0"/>
      <w:divBdr>
        <w:top w:val="none" w:sz="0" w:space="0" w:color="auto"/>
        <w:left w:val="none" w:sz="0" w:space="0" w:color="auto"/>
        <w:bottom w:val="none" w:sz="0" w:space="0" w:color="auto"/>
        <w:right w:val="none" w:sz="0" w:space="0" w:color="auto"/>
      </w:divBdr>
    </w:div>
    <w:div w:id="1050155636">
      <w:bodyDiv w:val="1"/>
      <w:marLeft w:val="0"/>
      <w:marRight w:val="0"/>
      <w:marTop w:val="0"/>
      <w:marBottom w:val="0"/>
      <w:divBdr>
        <w:top w:val="none" w:sz="0" w:space="0" w:color="auto"/>
        <w:left w:val="none" w:sz="0" w:space="0" w:color="auto"/>
        <w:bottom w:val="none" w:sz="0" w:space="0" w:color="auto"/>
        <w:right w:val="none" w:sz="0" w:space="0" w:color="auto"/>
      </w:divBdr>
    </w:div>
    <w:div w:id="1062601349">
      <w:bodyDiv w:val="1"/>
      <w:marLeft w:val="0"/>
      <w:marRight w:val="0"/>
      <w:marTop w:val="0"/>
      <w:marBottom w:val="0"/>
      <w:divBdr>
        <w:top w:val="none" w:sz="0" w:space="0" w:color="auto"/>
        <w:left w:val="none" w:sz="0" w:space="0" w:color="auto"/>
        <w:bottom w:val="none" w:sz="0" w:space="0" w:color="auto"/>
        <w:right w:val="none" w:sz="0" w:space="0" w:color="auto"/>
      </w:divBdr>
    </w:div>
    <w:div w:id="1069379458">
      <w:bodyDiv w:val="1"/>
      <w:marLeft w:val="0"/>
      <w:marRight w:val="0"/>
      <w:marTop w:val="0"/>
      <w:marBottom w:val="0"/>
      <w:divBdr>
        <w:top w:val="none" w:sz="0" w:space="0" w:color="auto"/>
        <w:left w:val="none" w:sz="0" w:space="0" w:color="auto"/>
        <w:bottom w:val="none" w:sz="0" w:space="0" w:color="auto"/>
        <w:right w:val="none" w:sz="0" w:space="0" w:color="auto"/>
      </w:divBdr>
    </w:div>
    <w:div w:id="1079668878">
      <w:bodyDiv w:val="1"/>
      <w:marLeft w:val="0"/>
      <w:marRight w:val="0"/>
      <w:marTop w:val="0"/>
      <w:marBottom w:val="0"/>
      <w:divBdr>
        <w:top w:val="none" w:sz="0" w:space="0" w:color="auto"/>
        <w:left w:val="none" w:sz="0" w:space="0" w:color="auto"/>
        <w:bottom w:val="none" w:sz="0" w:space="0" w:color="auto"/>
        <w:right w:val="none" w:sz="0" w:space="0" w:color="auto"/>
      </w:divBdr>
    </w:div>
    <w:div w:id="1085150494">
      <w:bodyDiv w:val="1"/>
      <w:marLeft w:val="0"/>
      <w:marRight w:val="0"/>
      <w:marTop w:val="0"/>
      <w:marBottom w:val="0"/>
      <w:divBdr>
        <w:top w:val="none" w:sz="0" w:space="0" w:color="auto"/>
        <w:left w:val="none" w:sz="0" w:space="0" w:color="auto"/>
        <w:bottom w:val="none" w:sz="0" w:space="0" w:color="auto"/>
        <w:right w:val="none" w:sz="0" w:space="0" w:color="auto"/>
      </w:divBdr>
    </w:div>
    <w:div w:id="1100182238">
      <w:bodyDiv w:val="1"/>
      <w:marLeft w:val="0"/>
      <w:marRight w:val="0"/>
      <w:marTop w:val="0"/>
      <w:marBottom w:val="0"/>
      <w:divBdr>
        <w:top w:val="none" w:sz="0" w:space="0" w:color="auto"/>
        <w:left w:val="none" w:sz="0" w:space="0" w:color="auto"/>
        <w:bottom w:val="none" w:sz="0" w:space="0" w:color="auto"/>
        <w:right w:val="none" w:sz="0" w:space="0" w:color="auto"/>
      </w:divBdr>
    </w:div>
    <w:div w:id="1100565398">
      <w:bodyDiv w:val="1"/>
      <w:marLeft w:val="0"/>
      <w:marRight w:val="0"/>
      <w:marTop w:val="0"/>
      <w:marBottom w:val="0"/>
      <w:divBdr>
        <w:top w:val="none" w:sz="0" w:space="0" w:color="auto"/>
        <w:left w:val="none" w:sz="0" w:space="0" w:color="auto"/>
        <w:bottom w:val="none" w:sz="0" w:space="0" w:color="auto"/>
        <w:right w:val="none" w:sz="0" w:space="0" w:color="auto"/>
      </w:divBdr>
    </w:div>
    <w:div w:id="1104619554">
      <w:bodyDiv w:val="1"/>
      <w:marLeft w:val="0"/>
      <w:marRight w:val="0"/>
      <w:marTop w:val="0"/>
      <w:marBottom w:val="0"/>
      <w:divBdr>
        <w:top w:val="none" w:sz="0" w:space="0" w:color="auto"/>
        <w:left w:val="none" w:sz="0" w:space="0" w:color="auto"/>
        <w:bottom w:val="none" w:sz="0" w:space="0" w:color="auto"/>
        <w:right w:val="none" w:sz="0" w:space="0" w:color="auto"/>
      </w:divBdr>
    </w:div>
    <w:div w:id="1118137560">
      <w:bodyDiv w:val="1"/>
      <w:marLeft w:val="0"/>
      <w:marRight w:val="0"/>
      <w:marTop w:val="0"/>
      <w:marBottom w:val="0"/>
      <w:divBdr>
        <w:top w:val="none" w:sz="0" w:space="0" w:color="auto"/>
        <w:left w:val="none" w:sz="0" w:space="0" w:color="auto"/>
        <w:bottom w:val="none" w:sz="0" w:space="0" w:color="auto"/>
        <w:right w:val="none" w:sz="0" w:space="0" w:color="auto"/>
      </w:divBdr>
    </w:div>
    <w:div w:id="1119379517">
      <w:bodyDiv w:val="1"/>
      <w:marLeft w:val="0"/>
      <w:marRight w:val="0"/>
      <w:marTop w:val="0"/>
      <w:marBottom w:val="0"/>
      <w:divBdr>
        <w:top w:val="none" w:sz="0" w:space="0" w:color="auto"/>
        <w:left w:val="none" w:sz="0" w:space="0" w:color="auto"/>
        <w:bottom w:val="none" w:sz="0" w:space="0" w:color="auto"/>
        <w:right w:val="none" w:sz="0" w:space="0" w:color="auto"/>
      </w:divBdr>
    </w:div>
    <w:div w:id="1122529809">
      <w:bodyDiv w:val="1"/>
      <w:marLeft w:val="0"/>
      <w:marRight w:val="0"/>
      <w:marTop w:val="0"/>
      <w:marBottom w:val="0"/>
      <w:divBdr>
        <w:top w:val="none" w:sz="0" w:space="0" w:color="auto"/>
        <w:left w:val="none" w:sz="0" w:space="0" w:color="auto"/>
        <w:bottom w:val="none" w:sz="0" w:space="0" w:color="auto"/>
        <w:right w:val="none" w:sz="0" w:space="0" w:color="auto"/>
      </w:divBdr>
    </w:div>
    <w:div w:id="1189031753">
      <w:bodyDiv w:val="1"/>
      <w:marLeft w:val="0"/>
      <w:marRight w:val="0"/>
      <w:marTop w:val="0"/>
      <w:marBottom w:val="0"/>
      <w:divBdr>
        <w:top w:val="none" w:sz="0" w:space="0" w:color="auto"/>
        <w:left w:val="none" w:sz="0" w:space="0" w:color="auto"/>
        <w:bottom w:val="none" w:sz="0" w:space="0" w:color="auto"/>
        <w:right w:val="none" w:sz="0" w:space="0" w:color="auto"/>
      </w:divBdr>
    </w:div>
    <w:div w:id="1192837322">
      <w:bodyDiv w:val="1"/>
      <w:marLeft w:val="0"/>
      <w:marRight w:val="0"/>
      <w:marTop w:val="0"/>
      <w:marBottom w:val="0"/>
      <w:divBdr>
        <w:top w:val="none" w:sz="0" w:space="0" w:color="auto"/>
        <w:left w:val="none" w:sz="0" w:space="0" w:color="auto"/>
        <w:bottom w:val="none" w:sz="0" w:space="0" w:color="auto"/>
        <w:right w:val="none" w:sz="0" w:space="0" w:color="auto"/>
      </w:divBdr>
    </w:div>
    <w:div w:id="1214541390">
      <w:bodyDiv w:val="1"/>
      <w:marLeft w:val="0"/>
      <w:marRight w:val="0"/>
      <w:marTop w:val="0"/>
      <w:marBottom w:val="0"/>
      <w:divBdr>
        <w:top w:val="none" w:sz="0" w:space="0" w:color="auto"/>
        <w:left w:val="none" w:sz="0" w:space="0" w:color="auto"/>
        <w:bottom w:val="none" w:sz="0" w:space="0" w:color="auto"/>
        <w:right w:val="none" w:sz="0" w:space="0" w:color="auto"/>
      </w:divBdr>
    </w:div>
    <w:div w:id="1230732323">
      <w:bodyDiv w:val="1"/>
      <w:marLeft w:val="0"/>
      <w:marRight w:val="0"/>
      <w:marTop w:val="0"/>
      <w:marBottom w:val="0"/>
      <w:divBdr>
        <w:top w:val="none" w:sz="0" w:space="0" w:color="auto"/>
        <w:left w:val="none" w:sz="0" w:space="0" w:color="auto"/>
        <w:bottom w:val="none" w:sz="0" w:space="0" w:color="auto"/>
        <w:right w:val="none" w:sz="0" w:space="0" w:color="auto"/>
      </w:divBdr>
    </w:div>
    <w:div w:id="1236890538">
      <w:bodyDiv w:val="1"/>
      <w:marLeft w:val="0"/>
      <w:marRight w:val="0"/>
      <w:marTop w:val="0"/>
      <w:marBottom w:val="0"/>
      <w:divBdr>
        <w:top w:val="none" w:sz="0" w:space="0" w:color="auto"/>
        <w:left w:val="none" w:sz="0" w:space="0" w:color="auto"/>
        <w:bottom w:val="none" w:sz="0" w:space="0" w:color="auto"/>
        <w:right w:val="none" w:sz="0" w:space="0" w:color="auto"/>
      </w:divBdr>
    </w:div>
    <w:div w:id="1242787377">
      <w:bodyDiv w:val="1"/>
      <w:marLeft w:val="0"/>
      <w:marRight w:val="0"/>
      <w:marTop w:val="0"/>
      <w:marBottom w:val="0"/>
      <w:divBdr>
        <w:top w:val="none" w:sz="0" w:space="0" w:color="auto"/>
        <w:left w:val="none" w:sz="0" w:space="0" w:color="auto"/>
        <w:bottom w:val="none" w:sz="0" w:space="0" w:color="auto"/>
        <w:right w:val="none" w:sz="0" w:space="0" w:color="auto"/>
      </w:divBdr>
    </w:div>
    <w:div w:id="1253900750">
      <w:bodyDiv w:val="1"/>
      <w:marLeft w:val="0"/>
      <w:marRight w:val="0"/>
      <w:marTop w:val="0"/>
      <w:marBottom w:val="0"/>
      <w:divBdr>
        <w:top w:val="none" w:sz="0" w:space="0" w:color="auto"/>
        <w:left w:val="none" w:sz="0" w:space="0" w:color="auto"/>
        <w:bottom w:val="none" w:sz="0" w:space="0" w:color="auto"/>
        <w:right w:val="none" w:sz="0" w:space="0" w:color="auto"/>
      </w:divBdr>
    </w:div>
    <w:div w:id="1258367161">
      <w:bodyDiv w:val="1"/>
      <w:marLeft w:val="0"/>
      <w:marRight w:val="0"/>
      <w:marTop w:val="0"/>
      <w:marBottom w:val="0"/>
      <w:divBdr>
        <w:top w:val="none" w:sz="0" w:space="0" w:color="auto"/>
        <w:left w:val="none" w:sz="0" w:space="0" w:color="auto"/>
        <w:bottom w:val="none" w:sz="0" w:space="0" w:color="auto"/>
        <w:right w:val="none" w:sz="0" w:space="0" w:color="auto"/>
      </w:divBdr>
    </w:div>
    <w:div w:id="1263029609">
      <w:bodyDiv w:val="1"/>
      <w:marLeft w:val="0"/>
      <w:marRight w:val="0"/>
      <w:marTop w:val="0"/>
      <w:marBottom w:val="0"/>
      <w:divBdr>
        <w:top w:val="none" w:sz="0" w:space="0" w:color="auto"/>
        <w:left w:val="none" w:sz="0" w:space="0" w:color="auto"/>
        <w:bottom w:val="none" w:sz="0" w:space="0" w:color="auto"/>
        <w:right w:val="none" w:sz="0" w:space="0" w:color="auto"/>
      </w:divBdr>
    </w:div>
    <w:div w:id="1275867118">
      <w:bodyDiv w:val="1"/>
      <w:marLeft w:val="0"/>
      <w:marRight w:val="0"/>
      <w:marTop w:val="0"/>
      <w:marBottom w:val="0"/>
      <w:divBdr>
        <w:top w:val="none" w:sz="0" w:space="0" w:color="auto"/>
        <w:left w:val="none" w:sz="0" w:space="0" w:color="auto"/>
        <w:bottom w:val="none" w:sz="0" w:space="0" w:color="auto"/>
        <w:right w:val="none" w:sz="0" w:space="0" w:color="auto"/>
      </w:divBdr>
    </w:div>
    <w:div w:id="1278297267">
      <w:bodyDiv w:val="1"/>
      <w:marLeft w:val="0"/>
      <w:marRight w:val="0"/>
      <w:marTop w:val="0"/>
      <w:marBottom w:val="0"/>
      <w:divBdr>
        <w:top w:val="none" w:sz="0" w:space="0" w:color="auto"/>
        <w:left w:val="none" w:sz="0" w:space="0" w:color="auto"/>
        <w:bottom w:val="none" w:sz="0" w:space="0" w:color="auto"/>
        <w:right w:val="none" w:sz="0" w:space="0" w:color="auto"/>
      </w:divBdr>
    </w:div>
    <w:div w:id="1278491934">
      <w:bodyDiv w:val="1"/>
      <w:marLeft w:val="0"/>
      <w:marRight w:val="0"/>
      <w:marTop w:val="0"/>
      <w:marBottom w:val="0"/>
      <w:divBdr>
        <w:top w:val="none" w:sz="0" w:space="0" w:color="auto"/>
        <w:left w:val="none" w:sz="0" w:space="0" w:color="auto"/>
        <w:bottom w:val="none" w:sz="0" w:space="0" w:color="auto"/>
        <w:right w:val="none" w:sz="0" w:space="0" w:color="auto"/>
      </w:divBdr>
    </w:div>
    <w:div w:id="1285578861">
      <w:bodyDiv w:val="1"/>
      <w:marLeft w:val="0"/>
      <w:marRight w:val="0"/>
      <w:marTop w:val="0"/>
      <w:marBottom w:val="0"/>
      <w:divBdr>
        <w:top w:val="none" w:sz="0" w:space="0" w:color="auto"/>
        <w:left w:val="none" w:sz="0" w:space="0" w:color="auto"/>
        <w:bottom w:val="none" w:sz="0" w:space="0" w:color="auto"/>
        <w:right w:val="none" w:sz="0" w:space="0" w:color="auto"/>
      </w:divBdr>
    </w:div>
    <w:div w:id="1288925802">
      <w:bodyDiv w:val="1"/>
      <w:marLeft w:val="0"/>
      <w:marRight w:val="0"/>
      <w:marTop w:val="0"/>
      <w:marBottom w:val="0"/>
      <w:divBdr>
        <w:top w:val="none" w:sz="0" w:space="0" w:color="auto"/>
        <w:left w:val="none" w:sz="0" w:space="0" w:color="auto"/>
        <w:bottom w:val="none" w:sz="0" w:space="0" w:color="auto"/>
        <w:right w:val="none" w:sz="0" w:space="0" w:color="auto"/>
      </w:divBdr>
    </w:div>
    <w:div w:id="1290429887">
      <w:bodyDiv w:val="1"/>
      <w:marLeft w:val="0"/>
      <w:marRight w:val="0"/>
      <w:marTop w:val="0"/>
      <w:marBottom w:val="0"/>
      <w:divBdr>
        <w:top w:val="none" w:sz="0" w:space="0" w:color="auto"/>
        <w:left w:val="none" w:sz="0" w:space="0" w:color="auto"/>
        <w:bottom w:val="none" w:sz="0" w:space="0" w:color="auto"/>
        <w:right w:val="none" w:sz="0" w:space="0" w:color="auto"/>
      </w:divBdr>
    </w:div>
    <w:div w:id="1315111688">
      <w:bodyDiv w:val="1"/>
      <w:marLeft w:val="0"/>
      <w:marRight w:val="0"/>
      <w:marTop w:val="0"/>
      <w:marBottom w:val="0"/>
      <w:divBdr>
        <w:top w:val="none" w:sz="0" w:space="0" w:color="auto"/>
        <w:left w:val="none" w:sz="0" w:space="0" w:color="auto"/>
        <w:bottom w:val="none" w:sz="0" w:space="0" w:color="auto"/>
        <w:right w:val="none" w:sz="0" w:space="0" w:color="auto"/>
      </w:divBdr>
    </w:div>
    <w:div w:id="1333338777">
      <w:bodyDiv w:val="1"/>
      <w:marLeft w:val="0"/>
      <w:marRight w:val="0"/>
      <w:marTop w:val="0"/>
      <w:marBottom w:val="0"/>
      <w:divBdr>
        <w:top w:val="none" w:sz="0" w:space="0" w:color="auto"/>
        <w:left w:val="none" w:sz="0" w:space="0" w:color="auto"/>
        <w:bottom w:val="none" w:sz="0" w:space="0" w:color="auto"/>
        <w:right w:val="none" w:sz="0" w:space="0" w:color="auto"/>
      </w:divBdr>
    </w:div>
    <w:div w:id="1341814697">
      <w:bodyDiv w:val="1"/>
      <w:marLeft w:val="0"/>
      <w:marRight w:val="0"/>
      <w:marTop w:val="0"/>
      <w:marBottom w:val="0"/>
      <w:divBdr>
        <w:top w:val="none" w:sz="0" w:space="0" w:color="auto"/>
        <w:left w:val="none" w:sz="0" w:space="0" w:color="auto"/>
        <w:bottom w:val="none" w:sz="0" w:space="0" w:color="auto"/>
        <w:right w:val="none" w:sz="0" w:space="0" w:color="auto"/>
      </w:divBdr>
    </w:div>
    <w:div w:id="1360861786">
      <w:bodyDiv w:val="1"/>
      <w:marLeft w:val="0"/>
      <w:marRight w:val="0"/>
      <w:marTop w:val="0"/>
      <w:marBottom w:val="0"/>
      <w:divBdr>
        <w:top w:val="none" w:sz="0" w:space="0" w:color="auto"/>
        <w:left w:val="none" w:sz="0" w:space="0" w:color="auto"/>
        <w:bottom w:val="none" w:sz="0" w:space="0" w:color="auto"/>
        <w:right w:val="none" w:sz="0" w:space="0" w:color="auto"/>
      </w:divBdr>
    </w:div>
    <w:div w:id="1375160345">
      <w:bodyDiv w:val="1"/>
      <w:marLeft w:val="0"/>
      <w:marRight w:val="0"/>
      <w:marTop w:val="0"/>
      <w:marBottom w:val="0"/>
      <w:divBdr>
        <w:top w:val="none" w:sz="0" w:space="0" w:color="auto"/>
        <w:left w:val="none" w:sz="0" w:space="0" w:color="auto"/>
        <w:bottom w:val="none" w:sz="0" w:space="0" w:color="auto"/>
        <w:right w:val="none" w:sz="0" w:space="0" w:color="auto"/>
      </w:divBdr>
    </w:div>
    <w:div w:id="1376272399">
      <w:bodyDiv w:val="1"/>
      <w:marLeft w:val="0"/>
      <w:marRight w:val="0"/>
      <w:marTop w:val="0"/>
      <w:marBottom w:val="0"/>
      <w:divBdr>
        <w:top w:val="none" w:sz="0" w:space="0" w:color="auto"/>
        <w:left w:val="none" w:sz="0" w:space="0" w:color="auto"/>
        <w:bottom w:val="none" w:sz="0" w:space="0" w:color="auto"/>
        <w:right w:val="none" w:sz="0" w:space="0" w:color="auto"/>
      </w:divBdr>
    </w:div>
    <w:div w:id="1380130779">
      <w:bodyDiv w:val="1"/>
      <w:marLeft w:val="0"/>
      <w:marRight w:val="0"/>
      <w:marTop w:val="0"/>
      <w:marBottom w:val="0"/>
      <w:divBdr>
        <w:top w:val="none" w:sz="0" w:space="0" w:color="auto"/>
        <w:left w:val="none" w:sz="0" w:space="0" w:color="auto"/>
        <w:bottom w:val="none" w:sz="0" w:space="0" w:color="auto"/>
        <w:right w:val="none" w:sz="0" w:space="0" w:color="auto"/>
      </w:divBdr>
    </w:div>
    <w:div w:id="1385788068">
      <w:bodyDiv w:val="1"/>
      <w:marLeft w:val="0"/>
      <w:marRight w:val="0"/>
      <w:marTop w:val="0"/>
      <w:marBottom w:val="0"/>
      <w:divBdr>
        <w:top w:val="none" w:sz="0" w:space="0" w:color="auto"/>
        <w:left w:val="none" w:sz="0" w:space="0" w:color="auto"/>
        <w:bottom w:val="none" w:sz="0" w:space="0" w:color="auto"/>
        <w:right w:val="none" w:sz="0" w:space="0" w:color="auto"/>
      </w:divBdr>
    </w:div>
    <w:div w:id="1387529378">
      <w:bodyDiv w:val="1"/>
      <w:marLeft w:val="0"/>
      <w:marRight w:val="0"/>
      <w:marTop w:val="0"/>
      <w:marBottom w:val="0"/>
      <w:divBdr>
        <w:top w:val="none" w:sz="0" w:space="0" w:color="auto"/>
        <w:left w:val="none" w:sz="0" w:space="0" w:color="auto"/>
        <w:bottom w:val="none" w:sz="0" w:space="0" w:color="auto"/>
        <w:right w:val="none" w:sz="0" w:space="0" w:color="auto"/>
      </w:divBdr>
    </w:div>
    <w:div w:id="1419211867">
      <w:bodyDiv w:val="1"/>
      <w:marLeft w:val="0"/>
      <w:marRight w:val="0"/>
      <w:marTop w:val="0"/>
      <w:marBottom w:val="0"/>
      <w:divBdr>
        <w:top w:val="none" w:sz="0" w:space="0" w:color="auto"/>
        <w:left w:val="none" w:sz="0" w:space="0" w:color="auto"/>
        <w:bottom w:val="none" w:sz="0" w:space="0" w:color="auto"/>
        <w:right w:val="none" w:sz="0" w:space="0" w:color="auto"/>
      </w:divBdr>
    </w:div>
    <w:div w:id="1422725540">
      <w:bodyDiv w:val="1"/>
      <w:marLeft w:val="0"/>
      <w:marRight w:val="0"/>
      <w:marTop w:val="0"/>
      <w:marBottom w:val="0"/>
      <w:divBdr>
        <w:top w:val="none" w:sz="0" w:space="0" w:color="auto"/>
        <w:left w:val="none" w:sz="0" w:space="0" w:color="auto"/>
        <w:bottom w:val="none" w:sz="0" w:space="0" w:color="auto"/>
        <w:right w:val="none" w:sz="0" w:space="0" w:color="auto"/>
      </w:divBdr>
    </w:div>
    <w:div w:id="1436514606">
      <w:bodyDiv w:val="1"/>
      <w:marLeft w:val="0"/>
      <w:marRight w:val="0"/>
      <w:marTop w:val="0"/>
      <w:marBottom w:val="0"/>
      <w:divBdr>
        <w:top w:val="none" w:sz="0" w:space="0" w:color="auto"/>
        <w:left w:val="none" w:sz="0" w:space="0" w:color="auto"/>
        <w:bottom w:val="none" w:sz="0" w:space="0" w:color="auto"/>
        <w:right w:val="none" w:sz="0" w:space="0" w:color="auto"/>
      </w:divBdr>
    </w:div>
    <w:div w:id="1443451943">
      <w:bodyDiv w:val="1"/>
      <w:marLeft w:val="0"/>
      <w:marRight w:val="0"/>
      <w:marTop w:val="0"/>
      <w:marBottom w:val="0"/>
      <w:divBdr>
        <w:top w:val="none" w:sz="0" w:space="0" w:color="auto"/>
        <w:left w:val="none" w:sz="0" w:space="0" w:color="auto"/>
        <w:bottom w:val="none" w:sz="0" w:space="0" w:color="auto"/>
        <w:right w:val="none" w:sz="0" w:space="0" w:color="auto"/>
      </w:divBdr>
    </w:div>
    <w:div w:id="1449004617">
      <w:bodyDiv w:val="1"/>
      <w:marLeft w:val="0"/>
      <w:marRight w:val="0"/>
      <w:marTop w:val="0"/>
      <w:marBottom w:val="0"/>
      <w:divBdr>
        <w:top w:val="none" w:sz="0" w:space="0" w:color="auto"/>
        <w:left w:val="none" w:sz="0" w:space="0" w:color="auto"/>
        <w:bottom w:val="none" w:sz="0" w:space="0" w:color="auto"/>
        <w:right w:val="none" w:sz="0" w:space="0" w:color="auto"/>
      </w:divBdr>
    </w:div>
    <w:div w:id="1454179508">
      <w:bodyDiv w:val="1"/>
      <w:marLeft w:val="0"/>
      <w:marRight w:val="0"/>
      <w:marTop w:val="0"/>
      <w:marBottom w:val="0"/>
      <w:divBdr>
        <w:top w:val="none" w:sz="0" w:space="0" w:color="auto"/>
        <w:left w:val="none" w:sz="0" w:space="0" w:color="auto"/>
        <w:bottom w:val="none" w:sz="0" w:space="0" w:color="auto"/>
        <w:right w:val="none" w:sz="0" w:space="0" w:color="auto"/>
      </w:divBdr>
    </w:div>
    <w:div w:id="1461805151">
      <w:bodyDiv w:val="1"/>
      <w:marLeft w:val="0"/>
      <w:marRight w:val="0"/>
      <w:marTop w:val="0"/>
      <w:marBottom w:val="0"/>
      <w:divBdr>
        <w:top w:val="none" w:sz="0" w:space="0" w:color="auto"/>
        <w:left w:val="none" w:sz="0" w:space="0" w:color="auto"/>
        <w:bottom w:val="none" w:sz="0" w:space="0" w:color="auto"/>
        <w:right w:val="none" w:sz="0" w:space="0" w:color="auto"/>
      </w:divBdr>
    </w:div>
    <w:div w:id="1475221354">
      <w:bodyDiv w:val="1"/>
      <w:marLeft w:val="0"/>
      <w:marRight w:val="0"/>
      <w:marTop w:val="0"/>
      <w:marBottom w:val="0"/>
      <w:divBdr>
        <w:top w:val="none" w:sz="0" w:space="0" w:color="auto"/>
        <w:left w:val="none" w:sz="0" w:space="0" w:color="auto"/>
        <w:bottom w:val="none" w:sz="0" w:space="0" w:color="auto"/>
        <w:right w:val="none" w:sz="0" w:space="0" w:color="auto"/>
      </w:divBdr>
    </w:div>
    <w:div w:id="1521698758">
      <w:bodyDiv w:val="1"/>
      <w:marLeft w:val="0"/>
      <w:marRight w:val="0"/>
      <w:marTop w:val="0"/>
      <w:marBottom w:val="0"/>
      <w:divBdr>
        <w:top w:val="none" w:sz="0" w:space="0" w:color="auto"/>
        <w:left w:val="none" w:sz="0" w:space="0" w:color="auto"/>
        <w:bottom w:val="none" w:sz="0" w:space="0" w:color="auto"/>
        <w:right w:val="none" w:sz="0" w:space="0" w:color="auto"/>
      </w:divBdr>
    </w:div>
    <w:div w:id="1525290386">
      <w:bodyDiv w:val="1"/>
      <w:marLeft w:val="0"/>
      <w:marRight w:val="0"/>
      <w:marTop w:val="0"/>
      <w:marBottom w:val="0"/>
      <w:divBdr>
        <w:top w:val="none" w:sz="0" w:space="0" w:color="auto"/>
        <w:left w:val="none" w:sz="0" w:space="0" w:color="auto"/>
        <w:bottom w:val="none" w:sz="0" w:space="0" w:color="auto"/>
        <w:right w:val="none" w:sz="0" w:space="0" w:color="auto"/>
      </w:divBdr>
    </w:div>
    <w:div w:id="1536187637">
      <w:bodyDiv w:val="1"/>
      <w:marLeft w:val="0"/>
      <w:marRight w:val="0"/>
      <w:marTop w:val="0"/>
      <w:marBottom w:val="0"/>
      <w:divBdr>
        <w:top w:val="none" w:sz="0" w:space="0" w:color="auto"/>
        <w:left w:val="none" w:sz="0" w:space="0" w:color="auto"/>
        <w:bottom w:val="none" w:sz="0" w:space="0" w:color="auto"/>
        <w:right w:val="none" w:sz="0" w:space="0" w:color="auto"/>
      </w:divBdr>
    </w:div>
    <w:div w:id="1546018971">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76086736">
      <w:bodyDiv w:val="1"/>
      <w:marLeft w:val="0"/>
      <w:marRight w:val="0"/>
      <w:marTop w:val="0"/>
      <w:marBottom w:val="0"/>
      <w:divBdr>
        <w:top w:val="none" w:sz="0" w:space="0" w:color="auto"/>
        <w:left w:val="none" w:sz="0" w:space="0" w:color="auto"/>
        <w:bottom w:val="none" w:sz="0" w:space="0" w:color="auto"/>
        <w:right w:val="none" w:sz="0" w:space="0" w:color="auto"/>
      </w:divBdr>
    </w:div>
    <w:div w:id="1584953184">
      <w:bodyDiv w:val="1"/>
      <w:marLeft w:val="0"/>
      <w:marRight w:val="0"/>
      <w:marTop w:val="0"/>
      <w:marBottom w:val="0"/>
      <w:divBdr>
        <w:top w:val="none" w:sz="0" w:space="0" w:color="auto"/>
        <w:left w:val="none" w:sz="0" w:space="0" w:color="auto"/>
        <w:bottom w:val="none" w:sz="0" w:space="0" w:color="auto"/>
        <w:right w:val="none" w:sz="0" w:space="0" w:color="auto"/>
      </w:divBdr>
    </w:div>
    <w:div w:id="1585647751">
      <w:bodyDiv w:val="1"/>
      <w:marLeft w:val="0"/>
      <w:marRight w:val="0"/>
      <w:marTop w:val="0"/>
      <w:marBottom w:val="0"/>
      <w:divBdr>
        <w:top w:val="none" w:sz="0" w:space="0" w:color="auto"/>
        <w:left w:val="none" w:sz="0" w:space="0" w:color="auto"/>
        <w:bottom w:val="none" w:sz="0" w:space="0" w:color="auto"/>
        <w:right w:val="none" w:sz="0" w:space="0" w:color="auto"/>
      </w:divBdr>
    </w:div>
    <w:div w:id="1588415513">
      <w:bodyDiv w:val="1"/>
      <w:marLeft w:val="0"/>
      <w:marRight w:val="0"/>
      <w:marTop w:val="0"/>
      <w:marBottom w:val="0"/>
      <w:divBdr>
        <w:top w:val="none" w:sz="0" w:space="0" w:color="auto"/>
        <w:left w:val="none" w:sz="0" w:space="0" w:color="auto"/>
        <w:bottom w:val="none" w:sz="0" w:space="0" w:color="auto"/>
        <w:right w:val="none" w:sz="0" w:space="0" w:color="auto"/>
      </w:divBdr>
    </w:div>
    <w:div w:id="1590964934">
      <w:bodyDiv w:val="1"/>
      <w:marLeft w:val="0"/>
      <w:marRight w:val="0"/>
      <w:marTop w:val="0"/>
      <w:marBottom w:val="0"/>
      <w:divBdr>
        <w:top w:val="none" w:sz="0" w:space="0" w:color="auto"/>
        <w:left w:val="none" w:sz="0" w:space="0" w:color="auto"/>
        <w:bottom w:val="none" w:sz="0" w:space="0" w:color="auto"/>
        <w:right w:val="none" w:sz="0" w:space="0" w:color="auto"/>
      </w:divBdr>
    </w:div>
    <w:div w:id="1621456097">
      <w:bodyDiv w:val="1"/>
      <w:marLeft w:val="0"/>
      <w:marRight w:val="0"/>
      <w:marTop w:val="0"/>
      <w:marBottom w:val="0"/>
      <w:divBdr>
        <w:top w:val="none" w:sz="0" w:space="0" w:color="auto"/>
        <w:left w:val="none" w:sz="0" w:space="0" w:color="auto"/>
        <w:bottom w:val="none" w:sz="0" w:space="0" w:color="auto"/>
        <w:right w:val="none" w:sz="0" w:space="0" w:color="auto"/>
      </w:divBdr>
    </w:div>
    <w:div w:id="1623071807">
      <w:bodyDiv w:val="1"/>
      <w:marLeft w:val="0"/>
      <w:marRight w:val="0"/>
      <w:marTop w:val="0"/>
      <w:marBottom w:val="0"/>
      <w:divBdr>
        <w:top w:val="none" w:sz="0" w:space="0" w:color="auto"/>
        <w:left w:val="none" w:sz="0" w:space="0" w:color="auto"/>
        <w:bottom w:val="none" w:sz="0" w:space="0" w:color="auto"/>
        <w:right w:val="none" w:sz="0" w:space="0" w:color="auto"/>
      </w:divBdr>
    </w:div>
    <w:div w:id="1627544026">
      <w:bodyDiv w:val="1"/>
      <w:marLeft w:val="0"/>
      <w:marRight w:val="0"/>
      <w:marTop w:val="0"/>
      <w:marBottom w:val="0"/>
      <w:divBdr>
        <w:top w:val="none" w:sz="0" w:space="0" w:color="auto"/>
        <w:left w:val="none" w:sz="0" w:space="0" w:color="auto"/>
        <w:bottom w:val="none" w:sz="0" w:space="0" w:color="auto"/>
        <w:right w:val="none" w:sz="0" w:space="0" w:color="auto"/>
      </w:divBdr>
    </w:div>
    <w:div w:id="1630548640">
      <w:bodyDiv w:val="1"/>
      <w:marLeft w:val="0"/>
      <w:marRight w:val="0"/>
      <w:marTop w:val="0"/>
      <w:marBottom w:val="0"/>
      <w:divBdr>
        <w:top w:val="none" w:sz="0" w:space="0" w:color="auto"/>
        <w:left w:val="none" w:sz="0" w:space="0" w:color="auto"/>
        <w:bottom w:val="none" w:sz="0" w:space="0" w:color="auto"/>
        <w:right w:val="none" w:sz="0" w:space="0" w:color="auto"/>
      </w:divBdr>
    </w:div>
    <w:div w:id="1633486562">
      <w:bodyDiv w:val="1"/>
      <w:marLeft w:val="0"/>
      <w:marRight w:val="0"/>
      <w:marTop w:val="0"/>
      <w:marBottom w:val="0"/>
      <w:divBdr>
        <w:top w:val="none" w:sz="0" w:space="0" w:color="auto"/>
        <w:left w:val="none" w:sz="0" w:space="0" w:color="auto"/>
        <w:bottom w:val="none" w:sz="0" w:space="0" w:color="auto"/>
        <w:right w:val="none" w:sz="0" w:space="0" w:color="auto"/>
      </w:divBdr>
    </w:div>
    <w:div w:id="1637680878">
      <w:bodyDiv w:val="1"/>
      <w:marLeft w:val="0"/>
      <w:marRight w:val="0"/>
      <w:marTop w:val="0"/>
      <w:marBottom w:val="0"/>
      <w:divBdr>
        <w:top w:val="none" w:sz="0" w:space="0" w:color="auto"/>
        <w:left w:val="none" w:sz="0" w:space="0" w:color="auto"/>
        <w:bottom w:val="none" w:sz="0" w:space="0" w:color="auto"/>
        <w:right w:val="none" w:sz="0" w:space="0" w:color="auto"/>
      </w:divBdr>
    </w:div>
    <w:div w:id="1666781433">
      <w:bodyDiv w:val="1"/>
      <w:marLeft w:val="0"/>
      <w:marRight w:val="0"/>
      <w:marTop w:val="0"/>
      <w:marBottom w:val="0"/>
      <w:divBdr>
        <w:top w:val="none" w:sz="0" w:space="0" w:color="auto"/>
        <w:left w:val="none" w:sz="0" w:space="0" w:color="auto"/>
        <w:bottom w:val="none" w:sz="0" w:space="0" w:color="auto"/>
        <w:right w:val="none" w:sz="0" w:space="0" w:color="auto"/>
      </w:divBdr>
    </w:div>
    <w:div w:id="1674139237">
      <w:bodyDiv w:val="1"/>
      <w:marLeft w:val="0"/>
      <w:marRight w:val="0"/>
      <w:marTop w:val="0"/>
      <w:marBottom w:val="0"/>
      <w:divBdr>
        <w:top w:val="none" w:sz="0" w:space="0" w:color="auto"/>
        <w:left w:val="none" w:sz="0" w:space="0" w:color="auto"/>
        <w:bottom w:val="none" w:sz="0" w:space="0" w:color="auto"/>
        <w:right w:val="none" w:sz="0" w:space="0" w:color="auto"/>
      </w:divBdr>
    </w:div>
    <w:div w:id="1676151424">
      <w:bodyDiv w:val="1"/>
      <w:marLeft w:val="0"/>
      <w:marRight w:val="0"/>
      <w:marTop w:val="0"/>
      <w:marBottom w:val="0"/>
      <w:divBdr>
        <w:top w:val="none" w:sz="0" w:space="0" w:color="auto"/>
        <w:left w:val="none" w:sz="0" w:space="0" w:color="auto"/>
        <w:bottom w:val="none" w:sz="0" w:space="0" w:color="auto"/>
        <w:right w:val="none" w:sz="0" w:space="0" w:color="auto"/>
      </w:divBdr>
    </w:div>
    <w:div w:id="1679309316">
      <w:bodyDiv w:val="1"/>
      <w:marLeft w:val="0"/>
      <w:marRight w:val="0"/>
      <w:marTop w:val="0"/>
      <w:marBottom w:val="0"/>
      <w:divBdr>
        <w:top w:val="none" w:sz="0" w:space="0" w:color="auto"/>
        <w:left w:val="none" w:sz="0" w:space="0" w:color="auto"/>
        <w:bottom w:val="none" w:sz="0" w:space="0" w:color="auto"/>
        <w:right w:val="none" w:sz="0" w:space="0" w:color="auto"/>
      </w:divBdr>
    </w:div>
    <w:div w:id="1708021453">
      <w:bodyDiv w:val="1"/>
      <w:marLeft w:val="0"/>
      <w:marRight w:val="0"/>
      <w:marTop w:val="0"/>
      <w:marBottom w:val="0"/>
      <w:divBdr>
        <w:top w:val="none" w:sz="0" w:space="0" w:color="auto"/>
        <w:left w:val="none" w:sz="0" w:space="0" w:color="auto"/>
        <w:bottom w:val="none" w:sz="0" w:space="0" w:color="auto"/>
        <w:right w:val="none" w:sz="0" w:space="0" w:color="auto"/>
      </w:divBdr>
    </w:div>
    <w:div w:id="1709333193">
      <w:bodyDiv w:val="1"/>
      <w:marLeft w:val="0"/>
      <w:marRight w:val="0"/>
      <w:marTop w:val="0"/>
      <w:marBottom w:val="0"/>
      <w:divBdr>
        <w:top w:val="none" w:sz="0" w:space="0" w:color="auto"/>
        <w:left w:val="none" w:sz="0" w:space="0" w:color="auto"/>
        <w:bottom w:val="none" w:sz="0" w:space="0" w:color="auto"/>
        <w:right w:val="none" w:sz="0" w:space="0" w:color="auto"/>
      </w:divBdr>
    </w:div>
    <w:div w:id="1759907050">
      <w:bodyDiv w:val="1"/>
      <w:marLeft w:val="0"/>
      <w:marRight w:val="0"/>
      <w:marTop w:val="0"/>
      <w:marBottom w:val="0"/>
      <w:divBdr>
        <w:top w:val="none" w:sz="0" w:space="0" w:color="auto"/>
        <w:left w:val="none" w:sz="0" w:space="0" w:color="auto"/>
        <w:bottom w:val="none" w:sz="0" w:space="0" w:color="auto"/>
        <w:right w:val="none" w:sz="0" w:space="0" w:color="auto"/>
      </w:divBdr>
    </w:div>
    <w:div w:id="1769034396">
      <w:bodyDiv w:val="1"/>
      <w:marLeft w:val="0"/>
      <w:marRight w:val="0"/>
      <w:marTop w:val="0"/>
      <w:marBottom w:val="0"/>
      <w:divBdr>
        <w:top w:val="none" w:sz="0" w:space="0" w:color="auto"/>
        <w:left w:val="none" w:sz="0" w:space="0" w:color="auto"/>
        <w:bottom w:val="none" w:sz="0" w:space="0" w:color="auto"/>
        <w:right w:val="none" w:sz="0" w:space="0" w:color="auto"/>
      </w:divBdr>
    </w:div>
    <w:div w:id="1776167225">
      <w:bodyDiv w:val="1"/>
      <w:marLeft w:val="0"/>
      <w:marRight w:val="0"/>
      <w:marTop w:val="0"/>
      <w:marBottom w:val="0"/>
      <w:divBdr>
        <w:top w:val="none" w:sz="0" w:space="0" w:color="auto"/>
        <w:left w:val="none" w:sz="0" w:space="0" w:color="auto"/>
        <w:bottom w:val="none" w:sz="0" w:space="0" w:color="auto"/>
        <w:right w:val="none" w:sz="0" w:space="0" w:color="auto"/>
      </w:divBdr>
    </w:div>
    <w:div w:id="1798839532">
      <w:bodyDiv w:val="1"/>
      <w:marLeft w:val="0"/>
      <w:marRight w:val="0"/>
      <w:marTop w:val="0"/>
      <w:marBottom w:val="0"/>
      <w:divBdr>
        <w:top w:val="none" w:sz="0" w:space="0" w:color="auto"/>
        <w:left w:val="none" w:sz="0" w:space="0" w:color="auto"/>
        <w:bottom w:val="none" w:sz="0" w:space="0" w:color="auto"/>
        <w:right w:val="none" w:sz="0" w:space="0" w:color="auto"/>
      </w:divBdr>
    </w:div>
    <w:div w:id="1799183440">
      <w:bodyDiv w:val="1"/>
      <w:marLeft w:val="0"/>
      <w:marRight w:val="0"/>
      <w:marTop w:val="0"/>
      <w:marBottom w:val="0"/>
      <w:divBdr>
        <w:top w:val="none" w:sz="0" w:space="0" w:color="auto"/>
        <w:left w:val="none" w:sz="0" w:space="0" w:color="auto"/>
        <w:bottom w:val="none" w:sz="0" w:space="0" w:color="auto"/>
        <w:right w:val="none" w:sz="0" w:space="0" w:color="auto"/>
      </w:divBdr>
    </w:div>
    <w:div w:id="1803573167">
      <w:bodyDiv w:val="1"/>
      <w:marLeft w:val="0"/>
      <w:marRight w:val="0"/>
      <w:marTop w:val="0"/>
      <w:marBottom w:val="0"/>
      <w:divBdr>
        <w:top w:val="none" w:sz="0" w:space="0" w:color="auto"/>
        <w:left w:val="none" w:sz="0" w:space="0" w:color="auto"/>
        <w:bottom w:val="none" w:sz="0" w:space="0" w:color="auto"/>
        <w:right w:val="none" w:sz="0" w:space="0" w:color="auto"/>
      </w:divBdr>
    </w:div>
    <w:div w:id="1815559117">
      <w:bodyDiv w:val="1"/>
      <w:marLeft w:val="0"/>
      <w:marRight w:val="0"/>
      <w:marTop w:val="0"/>
      <w:marBottom w:val="0"/>
      <w:divBdr>
        <w:top w:val="none" w:sz="0" w:space="0" w:color="auto"/>
        <w:left w:val="none" w:sz="0" w:space="0" w:color="auto"/>
        <w:bottom w:val="none" w:sz="0" w:space="0" w:color="auto"/>
        <w:right w:val="none" w:sz="0" w:space="0" w:color="auto"/>
      </w:divBdr>
    </w:div>
    <w:div w:id="1823615424">
      <w:bodyDiv w:val="1"/>
      <w:marLeft w:val="0"/>
      <w:marRight w:val="0"/>
      <w:marTop w:val="0"/>
      <w:marBottom w:val="0"/>
      <w:divBdr>
        <w:top w:val="none" w:sz="0" w:space="0" w:color="auto"/>
        <w:left w:val="none" w:sz="0" w:space="0" w:color="auto"/>
        <w:bottom w:val="none" w:sz="0" w:space="0" w:color="auto"/>
        <w:right w:val="none" w:sz="0" w:space="0" w:color="auto"/>
      </w:divBdr>
    </w:div>
    <w:div w:id="1826896202">
      <w:bodyDiv w:val="1"/>
      <w:marLeft w:val="0"/>
      <w:marRight w:val="0"/>
      <w:marTop w:val="0"/>
      <w:marBottom w:val="0"/>
      <w:divBdr>
        <w:top w:val="none" w:sz="0" w:space="0" w:color="auto"/>
        <w:left w:val="none" w:sz="0" w:space="0" w:color="auto"/>
        <w:bottom w:val="none" w:sz="0" w:space="0" w:color="auto"/>
        <w:right w:val="none" w:sz="0" w:space="0" w:color="auto"/>
      </w:divBdr>
    </w:div>
    <w:div w:id="1850027561">
      <w:bodyDiv w:val="1"/>
      <w:marLeft w:val="0"/>
      <w:marRight w:val="0"/>
      <w:marTop w:val="0"/>
      <w:marBottom w:val="0"/>
      <w:divBdr>
        <w:top w:val="none" w:sz="0" w:space="0" w:color="auto"/>
        <w:left w:val="none" w:sz="0" w:space="0" w:color="auto"/>
        <w:bottom w:val="none" w:sz="0" w:space="0" w:color="auto"/>
        <w:right w:val="none" w:sz="0" w:space="0" w:color="auto"/>
      </w:divBdr>
    </w:div>
    <w:div w:id="1852328043">
      <w:bodyDiv w:val="1"/>
      <w:marLeft w:val="0"/>
      <w:marRight w:val="0"/>
      <w:marTop w:val="0"/>
      <w:marBottom w:val="0"/>
      <w:divBdr>
        <w:top w:val="none" w:sz="0" w:space="0" w:color="auto"/>
        <w:left w:val="none" w:sz="0" w:space="0" w:color="auto"/>
        <w:bottom w:val="none" w:sz="0" w:space="0" w:color="auto"/>
        <w:right w:val="none" w:sz="0" w:space="0" w:color="auto"/>
      </w:divBdr>
    </w:div>
    <w:div w:id="1886984632">
      <w:bodyDiv w:val="1"/>
      <w:marLeft w:val="0"/>
      <w:marRight w:val="0"/>
      <w:marTop w:val="0"/>
      <w:marBottom w:val="0"/>
      <w:divBdr>
        <w:top w:val="none" w:sz="0" w:space="0" w:color="auto"/>
        <w:left w:val="none" w:sz="0" w:space="0" w:color="auto"/>
        <w:bottom w:val="none" w:sz="0" w:space="0" w:color="auto"/>
        <w:right w:val="none" w:sz="0" w:space="0" w:color="auto"/>
      </w:divBdr>
    </w:div>
    <w:div w:id="1902982494">
      <w:bodyDiv w:val="1"/>
      <w:marLeft w:val="0"/>
      <w:marRight w:val="0"/>
      <w:marTop w:val="0"/>
      <w:marBottom w:val="0"/>
      <w:divBdr>
        <w:top w:val="none" w:sz="0" w:space="0" w:color="auto"/>
        <w:left w:val="none" w:sz="0" w:space="0" w:color="auto"/>
        <w:bottom w:val="none" w:sz="0" w:space="0" w:color="auto"/>
        <w:right w:val="none" w:sz="0" w:space="0" w:color="auto"/>
      </w:divBdr>
    </w:div>
    <w:div w:id="1920169312">
      <w:bodyDiv w:val="1"/>
      <w:marLeft w:val="0"/>
      <w:marRight w:val="0"/>
      <w:marTop w:val="0"/>
      <w:marBottom w:val="0"/>
      <w:divBdr>
        <w:top w:val="none" w:sz="0" w:space="0" w:color="auto"/>
        <w:left w:val="none" w:sz="0" w:space="0" w:color="auto"/>
        <w:bottom w:val="none" w:sz="0" w:space="0" w:color="auto"/>
        <w:right w:val="none" w:sz="0" w:space="0" w:color="auto"/>
      </w:divBdr>
    </w:div>
    <w:div w:id="1932661543">
      <w:bodyDiv w:val="1"/>
      <w:marLeft w:val="0"/>
      <w:marRight w:val="0"/>
      <w:marTop w:val="0"/>
      <w:marBottom w:val="0"/>
      <w:divBdr>
        <w:top w:val="none" w:sz="0" w:space="0" w:color="auto"/>
        <w:left w:val="none" w:sz="0" w:space="0" w:color="auto"/>
        <w:bottom w:val="none" w:sz="0" w:space="0" w:color="auto"/>
        <w:right w:val="none" w:sz="0" w:space="0" w:color="auto"/>
      </w:divBdr>
    </w:div>
    <w:div w:id="1934317016">
      <w:bodyDiv w:val="1"/>
      <w:marLeft w:val="0"/>
      <w:marRight w:val="0"/>
      <w:marTop w:val="0"/>
      <w:marBottom w:val="0"/>
      <w:divBdr>
        <w:top w:val="none" w:sz="0" w:space="0" w:color="auto"/>
        <w:left w:val="none" w:sz="0" w:space="0" w:color="auto"/>
        <w:bottom w:val="none" w:sz="0" w:space="0" w:color="auto"/>
        <w:right w:val="none" w:sz="0" w:space="0" w:color="auto"/>
      </w:divBdr>
    </w:div>
    <w:div w:id="1960523281">
      <w:bodyDiv w:val="1"/>
      <w:marLeft w:val="0"/>
      <w:marRight w:val="0"/>
      <w:marTop w:val="0"/>
      <w:marBottom w:val="0"/>
      <w:divBdr>
        <w:top w:val="none" w:sz="0" w:space="0" w:color="auto"/>
        <w:left w:val="none" w:sz="0" w:space="0" w:color="auto"/>
        <w:bottom w:val="none" w:sz="0" w:space="0" w:color="auto"/>
        <w:right w:val="none" w:sz="0" w:space="0" w:color="auto"/>
      </w:divBdr>
    </w:div>
    <w:div w:id="1960840647">
      <w:bodyDiv w:val="1"/>
      <w:marLeft w:val="0"/>
      <w:marRight w:val="0"/>
      <w:marTop w:val="0"/>
      <w:marBottom w:val="0"/>
      <w:divBdr>
        <w:top w:val="none" w:sz="0" w:space="0" w:color="auto"/>
        <w:left w:val="none" w:sz="0" w:space="0" w:color="auto"/>
        <w:bottom w:val="none" w:sz="0" w:space="0" w:color="auto"/>
        <w:right w:val="none" w:sz="0" w:space="0" w:color="auto"/>
      </w:divBdr>
    </w:div>
    <w:div w:id="1976374136">
      <w:bodyDiv w:val="1"/>
      <w:marLeft w:val="0"/>
      <w:marRight w:val="0"/>
      <w:marTop w:val="0"/>
      <w:marBottom w:val="0"/>
      <w:divBdr>
        <w:top w:val="none" w:sz="0" w:space="0" w:color="auto"/>
        <w:left w:val="none" w:sz="0" w:space="0" w:color="auto"/>
        <w:bottom w:val="none" w:sz="0" w:space="0" w:color="auto"/>
        <w:right w:val="none" w:sz="0" w:space="0" w:color="auto"/>
      </w:divBdr>
    </w:div>
    <w:div w:id="1978946882">
      <w:bodyDiv w:val="1"/>
      <w:marLeft w:val="0"/>
      <w:marRight w:val="0"/>
      <w:marTop w:val="0"/>
      <w:marBottom w:val="0"/>
      <w:divBdr>
        <w:top w:val="none" w:sz="0" w:space="0" w:color="auto"/>
        <w:left w:val="none" w:sz="0" w:space="0" w:color="auto"/>
        <w:bottom w:val="none" w:sz="0" w:space="0" w:color="auto"/>
        <w:right w:val="none" w:sz="0" w:space="0" w:color="auto"/>
      </w:divBdr>
    </w:div>
    <w:div w:id="2005283055">
      <w:bodyDiv w:val="1"/>
      <w:marLeft w:val="0"/>
      <w:marRight w:val="0"/>
      <w:marTop w:val="0"/>
      <w:marBottom w:val="0"/>
      <w:divBdr>
        <w:top w:val="none" w:sz="0" w:space="0" w:color="auto"/>
        <w:left w:val="none" w:sz="0" w:space="0" w:color="auto"/>
        <w:bottom w:val="none" w:sz="0" w:space="0" w:color="auto"/>
        <w:right w:val="none" w:sz="0" w:space="0" w:color="auto"/>
      </w:divBdr>
    </w:div>
    <w:div w:id="2014188540">
      <w:bodyDiv w:val="1"/>
      <w:marLeft w:val="0"/>
      <w:marRight w:val="0"/>
      <w:marTop w:val="0"/>
      <w:marBottom w:val="0"/>
      <w:divBdr>
        <w:top w:val="none" w:sz="0" w:space="0" w:color="auto"/>
        <w:left w:val="none" w:sz="0" w:space="0" w:color="auto"/>
        <w:bottom w:val="none" w:sz="0" w:space="0" w:color="auto"/>
        <w:right w:val="none" w:sz="0" w:space="0" w:color="auto"/>
      </w:divBdr>
    </w:div>
    <w:div w:id="2026636702">
      <w:bodyDiv w:val="1"/>
      <w:marLeft w:val="0"/>
      <w:marRight w:val="0"/>
      <w:marTop w:val="0"/>
      <w:marBottom w:val="0"/>
      <w:divBdr>
        <w:top w:val="none" w:sz="0" w:space="0" w:color="auto"/>
        <w:left w:val="none" w:sz="0" w:space="0" w:color="auto"/>
        <w:bottom w:val="none" w:sz="0" w:space="0" w:color="auto"/>
        <w:right w:val="none" w:sz="0" w:space="0" w:color="auto"/>
      </w:divBdr>
    </w:div>
    <w:div w:id="2047899896">
      <w:bodyDiv w:val="1"/>
      <w:marLeft w:val="0"/>
      <w:marRight w:val="0"/>
      <w:marTop w:val="0"/>
      <w:marBottom w:val="0"/>
      <w:divBdr>
        <w:top w:val="none" w:sz="0" w:space="0" w:color="auto"/>
        <w:left w:val="none" w:sz="0" w:space="0" w:color="auto"/>
        <w:bottom w:val="none" w:sz="0" w:space="0" w:color="auto"/>
        <w:right w:val="none" w:sz="0" w:space="0" w:color="auto"/>
      </w:divBdr>
    </w:div>
    <w:div w:id="2049141441">
      <w:bodyDiv w:val="1"/>
      <w:marLeft w:val="0"/>
      <w:marRight w:val="0"/>
      <w:marTop w:val="0"/>
      <w:marBottom w:val="0"/>
      <w:divBdr>
        <w:top w:val="none" w:sz="0" w:space="0" w:color="auto"/>
        <w:left w:val="none" w:sz="0" w:space="0" w:color="auto"/>
        <w:bottom w:val="none" w:sz="0" w:space="0" w:color="auto"/>
        <w:right w:val="none" w:sz="0" w:space="0" w:color="auto"/>
      </w:divBdr>
    </w:div>
    <w:div w:id="2066294277">
      <w:bodyDiv w:val="1"/>
      <w:marLeft w:val="0"/>
      <w:marRight w:val="0"/>
      <w:marTop w:val="0"/>
      <w:marBottom w:val="0"/>
      <w:divBdr>
        <w:top w:val="none" w:sz="0" w:space="0" w:color="auto"/>
        <w:left w:val="none" w:sz="0" w:space="0" w:color="auto"/>
        <w:bottom w:val="none" w:sz="0" w:space="0" w:color="auto"/>
        <w:right w:val="none" w:sz="0" w:space="0" w:color="auto"/>
      </w:divBdr>
    </w:div>
    <w:div w:id="2072995618">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 w:id="2098940960">
      <w:bodyDiv w:val="1"/>
      <w:marLeft w:val="0"/>
      <w:marRight w:val="0"/>
      <w:marTop w:val="0"/>
      <w:marBottom w:val="0"/>
      <w:divBdr>
        <w:top w:val="none" w:sz="0" w:space="0" w:color="auto"/>
        <w:left w:val="none" w:sz="0" w:space="0" w:color="auto"/>
        <w:bottom w:val="none" w:sz="0" w:space="0" w:color="auto"/>
        <w:right w:val="none" w:sz="0" w:space="0" w:color="auto"/>
      </w:divBdr>
    </w:div>
    <w:div w:id="2110004936">
      <w:bodyDiv w:val="1"/>
      <w:marLeft w:val="0"/>
      <w:marRight w:val="0"/>
      <w:marTop w:val="0"/>
      <w:marBottom w:val="0"/>
      <w:divBdr>
        <w:top w:val="none" w:sz="0" w:space="0" w:color="auto"/>
        <w:left w:val="none" w:sz="0" w:space="0" w:color="auto"/>
        <w:bottom w:val="none" w:sz="0" w:space="0" w:color="auto"/>
        <w:right w:val="none" w:sz="0" w:space="0" w:color="auto"/>
      </w:divBdr>
    </w:div>
    <w:div w:id="2110344729">
      <w:bodyDiv w:val="1"/>
      <w:marLeft w:val="0"/>
      <w:marRight w:val="0"/>
      <w:marTop w:val="0"/>
      <w:marBottom w:val="0"/>
      <w:divBdr>
        <w:top w:val="none" w:sz="0" w:space="0" w:color="auto"/>
        <w:left w:val="none" w:sz="0" w:space="0" w:color="auto"/>
        <w:bottom w:val="none" w:sz="0" w:space="0" w:color="auto"/>
        <w:right w:val="none" w:sz="0" w:space="0" w:color="auto"/>
      </w:divBdr>
    </w:div>
    <w:div w:id="2116242135">
      <w:bodyDiv w:val="1"/>
      <w:marLeft w:val="0"/>
      <w:marRight w:val="0"/>
      <w:marTop w:val="0"/>
      <w:marBottom w:val="0"/>
      <w:divBdr>
        <w:top w:val="none" w:sz="0" w:space="0" w:color="auto"/>
        <w:left w:val="none" w:sz="0" w:space="0" w:color="auto"/>
        <w:bottom w:val="none" w:sz="0" w:space="0" w:color="auto"/>
        <w:right w:val="none" w:sz="0" w:space="0" w:color="auto"/>
      </w:divBdr>
    </w:div>
    <w:div w:id="2128036120">
      <w:bodyDiv w:val="1"/>
      <w:marLeft w:val="0"/>
      <w:marRight w:val="0"/>
      <w:marTop w:val="0"/>
      <w:marBottom w:val="0"/>
      <w:divBdr>
        <w:top w:val="none" w:sz="0" w:space="0" w:color="auto"/>
        <w:left w:val="none" w:sz="0" w:space="0" w:color="auto"/>
        <w:bottom w:val="none" w:sz="0" w:space="0" w:color="auto"/>
        <w:right w:val="none" w:sz="0" w:space="0" w:color="auto"/>
      </w:divBdr>
    </w:div>
    <w:div w:id="2128116284">
      <w:bodyDiv w:val="1"/>
      <w:marLeft w:val="0"/>
      <w:marRight w:val="0"/>
      <w:marTop w:val="0"/>
      <w:marBottom w:val="0"/>
      <w:divBdr>
        <w:top w:val="none" w:sz="0" w:space="0" w:color="auto"/>
        <w:left w:val="none" w:sz="0" w:space="0" w:color="auto"/>
        <w:bottom w:val="none" w:sz="0" w:space="0" w:color="auto"/>
        <w:right w:val="none" w:sz="0" w:space="0" w:color="auto"/>
      </w:divBdr>
    </w:div>
    <w:div w:id="213478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990D0E0-47BA-4847-9A79-587F2D4B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26</Pages>
  <Words>9260</Words>
  <Characters>54450</Characters>
  <Application>Microsoft Office Word</Application>
  <DocSecurity>0</DocSecurity>
  <Lines>1650</Lines>
  <Paragraphs>936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Abstract</vt:lpstr>
      <vt:lpstr>List of Abbreviations  </vt:lpstr>
      <vt:lpstr>Plain English Summary</vt:lpstr>
      <vt:lpstr>Scientific Summary </vt:lpstr>
      <vt:lpstr>Chapter 1: Introduction </vt:lpstr>
      <vt:lpstr>Chapter 2: Cohort Description</vt:lpstr>
      <vt:lpstr>Chapter 3: Clinical effectiveness</vt:lpstr>
    </vt:vector>
  </TitlesOfParts>
  <Company/>
  <LinksUpToDate>false</LinksUpToDate>
  <CharactersWithSpaces>62774</CharactersWithSpaces>
  <SharedDoc>false</SharedDoc>
  <HLinks>
    <vt:vector size="834" baseType="variant">
      <vt:variant>
        <vt:i4>2555988</vt:i4>
      </vt:variant>
      <vt:variant>
        <vt:i4>1719</vt:i4>
      </vt:variant>
      <vt:variant>
        <vt:i4>0</vt:i4>
      </vt:variant>
      <vt:variant>
        <vt:i4>5</vt:i4>
      </vt:variant>
      <vt:variant>
        <vt:lpwstr>https://www.google.com/aclk?sa=L&amp;ai=DChcSEwiy8fiEnNHyAhWNgVAGHRraBq4YABAvGgJkZw&amp;sig=AOD64_29bODdCw3aMG70X1pVDHfKDIMKGA&amp;ctype=5&amp;q=&amp;ved=0ahUKEwiFifSEnNHyAhXTSsAKHaSUCdoQ2CkI6QU&amp;adurl=</vt:lpwstr>
      </vt:variant>
      <vt:variant>
        <vt:lpwstr/>
      </vt:variant>
      <vt:variant>
        <vt:i4>1966162</vt:i4>
      </vt:variant>
      <vt:variant>
        <vt:i4>1526</vt:i4>
      </vt:variant>
      <vt:variant>
        <vt:i4>0</vt:i4>
      </vt:variant>
      <vt:variant>
        <vt:i4>5</vt:i4>
      </vt:variant>
      <vt:variant>
        <vt:lpwstr>https://dx.doi.org/10.1056/NEJMoa2014320</vt:lpwstr>
      </vt:variant>
      <vt:variant>
        <vt:lpwstr/>
      </vt:variant>
      <vt:variant>
        <vt:i4>1638469</vt:i4>
      </vt:variant>
      <vt:variant>
        <vt:i4>1523</vt:i4>
      </vt:variant>
      <vt:variant>
        <vt:i4>0</vt:i4>
      </vt:variant>
      <vt:variant>
        <vt:i4>5</vt:i4>
      </vt:variant>
      <vt:variant>
        <vt:lpwstr>https://www.facs.org/~/media/files/education/patient ed/cholesys.ashx</vt:lpwstr>
      </vt:variant>
      <vt:variant>
        <vt:lpwstr/>
      </vt:variant>
      <vt:variant>
        <vt:i4>131139</vt:i4>
      </vt:variant>
      <vt:variant>
        <vt:i4>1520</vt:i4>
      </vt:variant>
      <vt:variant>
        <vt:i4>0</vt:i4>
      </vt:variant>
      <vt:variant>
        <vt:i4>5</vt:i4>
      </vt:variant>
      <vt:variant>
        <vt:lpwstr>https://doi.org/10.1080/01621459.2020.1863220</vt:lpwstr>
      </vt:variant>
      <vt:variant>
        <vt:lpwstr/>
      </vt:variant>
      <vt:variant>
        <vt:i4>3014699</vt:i4>
      </vt:variant>
      <vt:variant>
        <vt:i4>1517</vt:i4>
      </vt:variant>
      <vt:variant>
        <vt:i4>0</vt:i4>
      </vt:variant>
      <vt:variant>
        <vt:i4>5</vt:i4>
      </vt:variant>
      <vt:variant>
        <vt:lpwstr>https://www.nihr.ac.uk/documents/research-on-multiple-long-term-conditions-multimorbidity-mltc-m/24639</vt:lpwstr>
      </vt:variant>
      <vt:variant>
        <vt:lpwstr/>
      </vt:variant>
      <vt:variant>
        <vt:i4>3801214</vt:i4>
      </vt:variant>
      <vt:variant>
        <vt:i4>1514</vt:i4>
      </vt:variant>
      <vt:variant>
        <vt:i4>0</vt:i4>
      </vt:variant>
      <vt:variant>
        <vt:i4>5</vt:i4>
      </vt:variant>
      <vt:variant>
        <vt:lpwstr>https://www.bgs.org.uk/sites/default/files/content/attachment/2021-09-28/Guideline for Perioperative Care for People Living with Frailty Undergoing Elective and Emergency Surgery.pdf</vt:lpwstr>
      </vt:variant>
      <vt:variant>
        <vt:lpwstr/>
      </vt:variant>
      <vt:variant>
        <vt:i4>8192038</vt:i4>
      </vt:variant>
      <vt:variant>
        <vt:i4>1511</vt:i4>
      </vt:variant>
      <vt:variant>
        <vt:i4>0</vt:i4>
      </vt:variant>
      <vt:variant>
        <vt:i4>5</vt:i4>
      </vt:variant>
      <vt:variant>
        <vt:lpwstr>https://www.rcseng.ac.uk/-/media/files/rcs/news-and-events/media-centre/2018-press-releases-documents/rcs-report-the-highrisk-general-surgical-patient--raising-the-standard--december-2018.pdf</vt:lpwstr>
      </vt:variant>
      <vt:variant>
        <vt:lpwstr/>
      </vt:variant>
      <vt:variant>
        <vt:i4>3342456</vt:i4>
      </vt:variant>
      <vt:variant>
        <vt:i4>1508</vt:i4>
      </vt:variant>
      <vt:variant>
        <vt:i4>0</vt:i4>
      </vt:variant>
      <vt:variant>
        <vt:i4>5</vt:i4>
      </vt:variant>
      <vt:variant>
        <vt:lpwstr>http://www.nela.org.uk/reports</vt:lpwstr>
      </vt:variant>
      <vt:variant>
        <vt:lpwstr/>
      </vt:variant>
      <vt:variant>
        <vt:i4>3342456</vt:i4>
      </vt:variant>
      <vt:variant>
        <vt:i4>1505</vt:i4>
      </vt:variant>
      <vt:variant>
        <vt:i4>0</vt:i4>
      </vt:variant>
      <vt:variant>
        <vt:i4>5</vt:i4>
      </vt:variant>
      <vt:variant>
        <vt:lpwstr>http://www.nela.org.uk/reports</vt:lpwstr>
      </vt:variant>
      <vt:variant>
        <vt:lpwstr/>
      </vt:variant>
      <vt:variant>
        <vt:i4>1572954</vt:i4>
      </vt:variant>
      <vt:variant>
        <vt:i4>1502</vt:i4>
      </vt:variant>
      <vt:variant>
        <vt:i4>0</vt:i4>
      </vt:variant>
      <vt:variant>
        <vt:i4>5</vt:i4>
      </vt:variant>
      <vt:variant>
        <vt:lpwstr>https://mcusercontent.com/99832f93daeaab6070e0f6946/files/9f1a3098-e318-4e46-8172-d4a209d2ca24/DAMASCUS_Protocol_V3.0_28_Sep_2020_.pdf</vt:lpwstr>
      </vt:variant>
      <vt:variant>
        <vt:lpwstr/>
      </vt:variant>
      <vt:variant>
        <vt:i4>4587614</vt:i4>
      </vt:variant>
      <vt:variant>
        <vt:i4>1499</vt:i4>
      </vt:variant>
      <vt:variant>
        <vt:i4>0</vt:i4>
      </vt:variant>
      <vt:variant>
        <vt:i4>5</vt:i4>
      </vt:variant>
      <vt:variant>
        <vt:lpwstr>https://www.rcseng.ac.uk/coronavirus/joint-guidance-for-surgeons-v1/</vt:lpwstr>
      </vt:variant>
      <vt:variant>
        <vt:lpwstr/>
      </vt:variant>
      <vt:variant>
        <vt:i4>7864357</vt:i4>
      </vt:variant>
      <vt:variant>
        <vt:i4>1496</vt:i4>
      </vt:variant>
      <vt:variant>
        <vt:i4>0</vt:i4>
      </vt:variant>
      <vt:variant>
        <vt:i4>5</vt:i4>
      </vt:variant>
      <vt:variant>
        <vt:lpwstr>http://arxiv.org/abs/2009.09036</vt:lpwstr>
      </vt:variant>
      <vt:variant>
        <vt:lpwstr/>
      </vt:variant>
      <vt:variant>
        <vt:i4>2359343</vt:i4>
      </vt:variant>
      <vt:variant>
        <vt:i4>1493</vt:i4>
      </vt:variant>
      <vt:variant>
        <vt:i4>0</vt:i4>
      </vt:variant>
      <vt:variant>
        <vt:i4>5</vt:i4>
      </vt:variant>
      <vt:variant>
        <vt:lpwstr>https://doi.org/10.1016/j.jclinepi.2021.06.006</vt:lpwstr>
      </vt:variant>
      <vt:variant>
        <vt:lpwstr/>
      </vt:variant>
      <vt:variant>
        <vt:i4>7209023</vt:i4>
      </vt:variant>
      <vt:variant>
        <vt:i4>1490</vt:i4>
      </vt:variant>
      <vt:variant>
        <vt:i4>0</vt:i4>
      </vt:variant>
      <vt:variant>
        <vt:i4>5</vt:i4>
      </vt:variant>
      <vt:variant>
        <vt:lpwstr>https://doi.org/10.1007/s00464-020-08205-z</vt:lpwstr>
      </vt:variant>
      <vt:variant>
        <vt:lpwstr/>
      </vt:variant>
      <vt:variant>
        <vt:i4>7143548</vt:i4>
      </vt:variant>
      <vt:variant>
        <vt:i4>1487</vt:i4>
      </vt:variant>
      <vt:variant>
        <vt:i4>0</vt:i4>
      </vt:variant>
      <vt:variant>
        <vt:i4>5</vt:i4>
      </vt:variant>
      <vt:variant>
        <vt:lpwstr>https://assets.publishing.service.gov.uk/government/uploads/system/uploads/attachment_data/file/205904/GDP_Deflators_User_Guide.pdf</vt:lpwstr>
      </vt:variant>
      <vt:variant>
        <vt:lpwstr/>
      </vt:variant>
      <vt:variant>
        <vt:i4>1572874</vt:i4>
      </vt:variant>
      <vt:variant>
        <vt:i4>1484</vt:i4>
      </vt:variant>
      <vt:variant>
        <vt:i4>0</vt:i4>
      </vt:variant>
      <vt:variant>
        <vt:i4>5</vt:i4>
      </vt:variant>
      <vt:variant>
        <vt:lpwstr>https://webarchive.nationalarchives.gov.uk/ukgwa/20200501111106/https://improvement.nhs.uk/resources/reference-costs/Improvement</vt:lpwstr>
      </vt:variant>
      <vt:variant>
        <vt:lpwstr/>
      </vt:variant>
      <vt:variant>
        <vt:i4>4587520</vt:i4>
      </vt:variant>
      <vt:variant>
        <vt:i4>1478</vt:i4>
      </vt:variant>
      <vt:variant>
        <vt:i4>0</vt:i4>
      </vt:variant>
      <vt:variant>
        <vt:i4>5</vt:i4>
      </vt:variant>
      <vt:variant>
        <vt:lpwstr>https://www.isdscotland.org/Health-Topics/Finance/Costs/Detailed-Tables/Theatres.asp</vt:lpwstr>
      </vt:variant>
      <vt:variant>
        <vt:lpwstr/>
      </vt:variant>
      <vt:variant>
        <vt:i4>4718657</vt:i4>
      </vt:variant>
      <vt:variant>
        <vt:i4>1475</vt:i4>
      </vt:variant>
      <vt:variant>
        <vt:i4>0</vt:i4>
      </vt:variant>
      <vt:variant>
        <vt:i4>5</vt:i4>
      </vt:variant>
      <vt:variant>
        <vt:lpwstr>https://digital.nhs.uk/data-and-information/data-tools-and-services/data-services/hospital-episode-statistics/hospital-episode-statistics-data-dictionary</vt:lpwstr>
      </vt:variant>
      <vt:variant>
        <vt:lpwstr/>
      </vt:variant>
      <vt:variant>
        <vt:i4>1704018</vt:i4>
      </vt:variant>
      <vt:variant>
        <vt:i4>1472</vt:i4>
      </vt:variant>
      <vt:variant>
        <vt:i4>0</vt:i4>
      </vt:variant>
      <vt:variant>
        <vt:i4>5</vt:i4>
      </vt:variant>
      <vt:variant>
        <vt:lpwstr>https://www.nice.org.uk/process/pmg9/chapter/foreword</vt:lpwstr>
      </vt:variant>
      <vt:variant>
        <vt:lpwstr/>
      </vt:variant>
      <vt:variant>
        <vt:i4>3342456</vt:i4>
      </vt:variant>
      <vt:variant>
        <vt:i4>1469</vt:i4>
      </vt:variant>
      <vt:variant>
        <vt:i4>0</vt:i4>
      </vt:variant>
      <vt:variant>
        <vt:i4>5</vt:i4>
      </vt:variant>
      <vt:variant>
        <vt:lpwstr>http://www.nela.org.uk/reports</vt:lpwstr>
      </vt:variant>
      <vt:variant>
        <vt:lpwstr/>
      </vt:variant>
      <vt:variant>
        <vt:i4>3342456</vt:i4>
      </vt:variant>
      <vt:variant>
        <vt:i4>1466</vt:i4>
      </vt:variant>
      <vt:variant>
        <vt:i4>0</vt:i4>
      </vt:variant>
      <vt:variant>
        <vt:i4>5</vt:i4>
      </vt:variant>
      <vt:variant>
        <vt:lpwstr>http://www.nela.org.uk/reports</vt:lpwstr>
      </vt:variant>
      <vt:variant>
        <vt:lpwstr/>
      </vt:variant>
      <vt:variant>
        <vt:i4>3342456</vt:i4>
      </vt:variant>
      <vt:variant>
        <vt:i4>1463</vt:i4>
      </vt:variant>
      <vt:variant>
        <vt:i4>0</vt:i4>
      </vt:variant>
      <vt:variant>
        <vt:i4>5</vt:i4>
      </vt:variant>
      <vt:variant>
        <vt:lpwstr>http://www.nela.org.uk/reports</vt:lpwstr>
      </vt:variant>
      <vt:variant>
        <vt:lpwstr/>
      </vt:variant>
      <vt:variant>
        <vt:i4>6553636</vt:i4>
      </vt:variant>
      <vt:variant>
        <vt:i4>1460</vt:i4>
      </vt:variant>
      <vt:variant>
        <vt:i4>0</vt:i4>
      </vt:variant>
      <vt:variant>
        <vt:i4>5</vt:i4>
      </vt:variant>
      <vt:variant>
        <vt:lpwstr>https://www.nice.org.uk/guidance/ng147</vt:lpwstr>
      </vt:variant>
      <vt:variant>
        <vt:lpwstr/>
      </vt:variant>
      <vt:variant>
        <vt:i4>6094922</vt:i4>
      </vt:variant>
      <vt:variant>
        <vt:i4>1457</vt:i4>
      </vt:variant>
      <vt:variant>
        <vt:i4>0</vt:i4>
      </vt:variant>
      <vt:variant>
        <vt:i4>5</vt:i4>
      </vt:variant>
      <vt:variant>
        <vt:lpwstr>https://www.britishherniasociety.org/management-of-acutely-symptomatic-hernias-mash-study</vt:lpwstr>
      </vt:variant>
      <vt:variant>
        <vt:lpwstr/>
      </vt:variant>
      <vt:variant>
        <vt:i4>6684712</vt:i4>
      </vt:variant>
      <vt:variant>
        <vt:i4>1454</vt:i4>
      </vt:variant>
      <vt:variant>
        <vt:i4>0</vt:i4>
      </vt:variant>
      <vt:variant>
        <vt:i4>5</vt:i4>
      </vt:variant>
      <vt:variant>
        <vt:lpwstr>https://www.nice.org.uk/guidance/cg188</vt:lpwstr>
      </vt:variant>
      <vt:variant>
        <vt:lpwstr/>
      </vt:variant>
      <vt:variant>
        <vt:i4>786514</vt:i4>
      </vt:variant>
      <vt:variant>
        <vt:i4>1451</vt:i4>
      </vt:variant>
      <vt:variant>
        <vt:i4>0</vt:i4>
      </vt:variant>
      <vt:variant>
        <vt:i4>5</vt:i4>
      </vt:variant>
      <vt:variant>
        <vt:lpwstr>https://www.lshtm.ac.uk/research/centres-projects-groups/esort</vt:lpwstr>
      </vt:variant>
      <vt:variant>
        <vt:lpwstr>welcome</vt:lpwstr>
      </vt:variant>
      <vt:variant>
        <vt:i4>6029342</vt:i4>
      </vt:variant>
      <vt:variant>
        <vt:i4>1445</vt:i4>
      </vt:variant>
      <vt:variant>
        <vt:i4>0</vt:i4>
      </vt:variant>
      <vt:variant>
        <vt:i4>5</vt:i4>
      </vt:variant>
      <vt:variant>
        <vt:lpwstr>https://ifs.org.uk/publications/15557</vt:lpwstr>
      </vt:variant>
      <vt:variant>
        <vt:lpwstr/>
      </vt:variant>
      <vt:variant>
        <vt:i4>655385</vt:i4>
      </vt:variant>
      <vt:variant>
        <vt:i4>1442</vt:i4>
      </vt:variant>
      <vt:variant>
        <vt:i4>0</vt:i4>
      </vt:variant>
      <vt:variant>
        <vt:i4>5</vt:i4>
      </vt:variant>
      <vt:variant>
        <vt:lpwstr>http://gettingitrightfirsttime.co.uk/national-general-surgery-report-published-2/</vt:lpwstr>
      </vt:variant>
      <vt:variant>
        <vt:lpwstr/>
      </vt:variant>
      <vt:variant>
        <vt:i4>94</vt:i4>
      </vt:variant>
      <vt:variant>
        <vt:i4>1439</vt:i4>
      </vt:variant>
      <vt:variant>
        <vt:i4>0</vt:i4>
      </vt:variant>
      <vt:variant>
        <vt:i4>5</vt:i4>
      </vt:variant>
      <vt:variant>
        <vt:lpwstr>https://www.lshtm.ac.uk/research/centres-projects-groups/esort</vt:lpwstr>
      </vt:variant>
      <vt:variant>
        <vt:lpwstr>privacy</vt:lpwstr>
      </vt:variant>
      <vt:variant>
        <vt:i4>4784132</vt:i4>
      </vt:variant>
      <vt:variant>
        <vt:i4>1436</vt:i4>
      </vt:variant>
      <vt:variant>
        <vt:i4>0</vt:i4>
      </vt:variant>
      <vt:variant>
        <vt:i4>5</vt:i4>
      </vt:variant>
      <vt:variant>
        <vt:lpwstr>https://understandingpatientdata.org.uk/data-citation</vt:lpwstr>
      </vt:variant>
      <vt:variant>
        <vt:lpwstr/>
      </vt:variant>
      <vt:variant>
        <vt:i4>6422635</vt:i4>
      </vt:variant>
      <vt:variant>
        <vt:i4>1433</vt:i4>
      </vt:variant>
      <vt:variant>
        <vt:i4>0</vt:i4>
      </vt:variant>
      <vt:variant>
        <vt:i4>5</vt:i4>
      </vt:variant>
      <vt:variant>
        <vt:lpwstr>https://twitter.com/hashtag/datasaveslives?lang=en</vt:lpwstr>
      </vt:variant>
      <vt:variant>
        <vt:lpwstr/>
      </vt:variant>
      <vt:variant>
        <vt:i4>7798887</vt:i4>
      </vt:variant>
      <vt:variant>
        <vt:i4>1427</vt:i4>
      </vt:variant>
      <vt:variant>
        <vt:i4>0</vt:i4>
      </vt:variant>
      <vt:variant>
        <vt:i4>5</vt:i4>
      </vt:variant>
      <vt:variant>
        <vt:lpwstr>https://www.lshtm.ac.uk/media/39151</vt:lpwstr>
      </vt:variant>
      <vt:variant>
        <vt:lpwstr/>
      </vt:variant>
      <vt:variant>
        <vt:i4>5832729</vt:i4>
      </vt:variant>
      <vt:variant>
        <vt:i4>1424</vt:i4>
      </vt:variant>
      <vt:variant>
        <vt:i4>0</vt:i4>
      </vt:variant>
      <vt:variant>
        <vt:i4>5</vt:i4>
      </vt:variant>
      <vt:variant>
        <vt:lpwstr>https://netscc-mis.nihr.ac.uk/mis/Implementation/Modules/Home/HomeModuleContent.aspx?Config=HomeModuleConfig&amp;Page=MyGrantDetails&amp;GranteeProjectID=128490</vt:lpwstr>
      </vt:variant>
      <vt:variant>
        <vt:lpwstr/>
      </vt:variant>
      <vt:variant>
        <vt:i4>5046283</vt:i4>
      </vt:variant>
      <vt:variant>
        <vt:i4>670</vt:i4>
      </vt:variant>
      <vt:variant>
        <vt:i4>0</vt:i4>
      </vt:variant>
      <vt:variant>
        <vt:i4>5</vt:i4>
      </vt:variant>
      <vt:variant>
        <vt:lpwstr>http://www.lshtm.ac.uk/research/centres-projects-groups/esort</vt:lpwstr>
      </vt:variant>
      <vt:variant>
        <vt:lpwstr/>
      </vt:variant>
      <vt:variant>
        <vt:i4>6815747</vt:i4>
      </vt:variant>
      <vt:variant>
        <vt:i4>567</vt:i4>
      </vt:variant>
      <vt:variant>
        <vt:i4>0</vt:i4>
      </vt:variant>
      <vt:variant>
        <vt:i4>5</vt:i4>
      </vt:variant>
      <vt:variant>
        <vt:lpwstr>https://www.journalslibrary.nihr.ac.uk/programmes/hsdr/180225/</vt:lpwstr>
      </vt:variant>
      <vt:variant>
        <vt:lpwstr>/</vt:lpwstr>
      </vt:variant>
      <vt:variant>
        <vt:i4>1769529</vt:i4>
      </vt:variant>
      <vt:variant>
        <vt:i4>560</vt:i4>
      </vt:variant>
      <vt:variant>
        <vt:i4>0</vt:i4>
      </vt:variant>
      <vt:variant>
        <vt:i4>5</vt:i4>
      </vt:variant>
      <vt:variant>
        <vt:lpwstr/>
      </vt:variant>
      <vt:variant>
        <vt:lpwstr>_Toc86670875</vt:lpwstr>
      </vt:variant>
      <vt:variant>
        <vt:i4>1703993</vt:i4>
      </vt:variant>
      <vt:variant>
        <vt:i4>554</vt:i4>
      </vt:variant>
      <vt:variant>
        <vt:i4>0</vt:i4>
      </vt:variant>
      <vt:variant>
        <vt:i4>5</vt:i4>
      </vt:variant>
      <vt:variant>
        <vt:lpwstr/>
      </vt:variant>
      <vt:variant>
        <vt:lpwstr>_Toc86670874</vt:lpwstr>
      </vt:variant>
      <vt:variant>
        <vt:i4>1900601</vt:i4>
      </vt:variant>
      <vt:variant>
        <vt:i4>548</vt:i4>
      </vt:variant>
      <vt:variant>
        <vt:i4>0</vt:i4>
      </vt:variant>
      <vt:variant>
        <vt:i4>5</vt:i4>
      </vt:variant>
      <vt:variant>
        <vt:lpwstr/>
      </vt:variant>
      <vt:variant>
        <vt:lpwstr>_Toc86670873</vt:lpwstr>
      </vt:variant>
      <vt:variant>
        <vt:i4>1835065</vt:i4>
      </vt:variant>
      <vt:variant>
        <vt:i4>542</vt:i4>
      </vt:variant>
      <vt:variant>
        <vt:i4>0</vt:i4>
      </vt:variant>
      <vt:variant>
        <vt:i4>5</vt:i4>
      </vt:variant>
      <vt:variant>
        <vt:lpwstr/>
      </vt:variant>
      <vt:variant>
        <vt:lpwstr>_Toc86670872</vt:lpwstr>
      </vt:variant>
      <vt:variant>
        <vt:i4>2031673</vt:i4>
      </vt:variant>
      <vt:variant>
        <vt:i4>536</vt:i4>
      </vt:variant>
      <vt:variant>
        <vt:i4>0</vt:i4>
      </vt:variant>
      <vt:variant>
        <vt:i4>5</vt:i4>
      </vt:variant>
      <vt:variant>
        <vt:lpwstr/>
      </vt:variant>
      <vt:variant>
        <vt:lpwstr>_Toc86670871</vt:lpwstr>
      </vt:variant>
      <vt:variant>
        <vt:i4>1966137</vt:i4>
      </vt:variant>
      <vt:variant>
        <vt:i4>530</vt:i4>
      </vt:variant>
      <vt:variant>
        <vt:i4>0</vt:i4>
      </vt:variant>
      <vt:variant>
        <vt:i4>5</vt:i4>
      </vt:variant>
      <vt:variant>
        <vt:lpwstr/>
      </vt:variant>
      <vt:variant>
        <vt:lpwstr>_Toc86670870</vt:lpwstr>
      </vt:variant>
      <vt:variant>
        <vt:i4>1507384</vt:i4>
      </vt:variant>
      <vt:variant>
        <vt:i4>524</vt:i4>
      </vt:variant>
      <vt:variant>
        <vt:i4>0</vt:i4>
      </vt:variant>
      <vt:variant>
        <vt:i4>5</vt:i4>
      </vt:variant>
      <vt:variant>
        <vt:lpwstr/>
      </vt:variant>
      <vt:variant>
        <vt:lpwstr>_Toc86670869</vt:lpwstr>
      </vt:variant>
      <vt:variant>
        <vt:i4>1441848</vt:i4>
      </vt:variant>
      <vt:variant>
        <vt:i4>518</vt:i4>
      </vt:variant>
      <vt:variant>
        <vt:i4>0</vt:i4>
      </vt:variant>
      <vt:variant>
        <vt:i4>5</vt:i4>
      </vt:variant>
      <vt:variant>
        <vt:lpwstr/>
      </vt:variant>
      <vt:variant>
        <vt:lpwstr>_Toc86670868</vt:lpwstr>
      </vt:variant>
      <vt:variant>
        <vt:i4>1638456</vt:i4>
      </vt:variant>
      <vt:variant>
        <vt:i4>512</vt:i4>
      </vt:variant>
      <vt:variant>
        <vt:i4>0</vt:i4>
      </vt:variant>
      <vt:variant>
        <vt:i4>5</vt:i4>
      </vt:variant>
      <vt:variant>
        <vt:lpwstr/>
      </vt:variant>
      <vt:variant>
        <vt:lpwstr>_Toc86670867</vt:lpwstr>
      </vt:variant>
      <vt:variant>
        <vt:i4>1572920</vt:i4>
      </vt:variant>
      <vt:variant>
        <vt:i4>506</vt:i4>
      </vt:variant>
      <vt:variant>
        <vt:i4>0</vt:i4>
      </vt:variant>
      <vt:variant>
        <vt:i4>5</vt:i4>
      </vt:variant>
      <vt:variant>
        <vt:lpwstr/>
      </vt:variant>
      <vt:variant>
        <vt:lpwstr>_Toc86670866</vt:lpwstr>
      </vt:variant>
      <vt:variant>
        <vt:i4>1769528</vt:i4>
      </vt:variant>
      <vt:variant>
        <vt:i4>500</vt:i4>
      </vt:variant>
      <vt:variant>
        <vt:i4>0</vt:i4>
      </vt:variant>
      <vt:variant>
        <vt:i4>5</vt:i4>
      </vt:variant>
      <vt:variant>
        <vt:lpwstr/>
      </vt:variant>
      <vt:variant>
        <vt:lpwstr>_Toc86670865</vt:lpwstr>
      </vt:variant>
      <vt:variant>
        <vt:i4>1703992</vt:i4>
      </vt:variant>
      <vt:variant>
        <vt:i4>494</vt:i4>
      </vt:variant>
      <vt:variant>
        <vt:i4>0</vt:i4>
      </vt:variant>
      <vt:variant>
        <vt:i4>5</vt:i4>
      </vt:variant>
      <vt:variant>
        <vt:lpwstr/>
      </vt:variant>
      <vt:variant>
        <vt:lpwstr>_Toc86670864</vt:lpwstr>
      </vt:variant>
      <vt:variant>
        <vt:i4>1900600</vt:i4>
      </vt:variant>
      <vt:variant>
        <vt:i4>488</vt:i4>
      </vt:variant>
      <vt:variant>
        <vt:i4>0</vt:i4>
      </vt:variant>
      <vt:variant>
        <vt:i4>5</vt:i4>
      </vt:variant>
      <vt:variant>
        <vt:lpwstr/>
      </vt:variant>
      <vt:variant>
        <vt:lpwstr>_Toc86670863</vt:lpwstr>
      </vt:variant>
      <vt:variant>
        <vt:i4>1835064</vt:i4>
      </vt:variant>
      <vt:variant>
        <vt:i4>482</vt:i4>
      </vt:variant>
      <vt:variant>
        <vt:i4>0</vt:i4>
      </vt:variant>
      <vt:variant>
        <vt:i4>5</vt:i4>
      </vt:variant>
      <vt:variant>
        <vt:lpwstr/>
      </vt:variant>
      <vt:variant>
        <vt:lpwstr>_Toc86670862</vt:lpwstr>
      </vt:variant>
      <vt:variant>
        <vt:i4>2031672</vt:i4>
      </vt:variant>
      <vt:variant>
        <vt:i4>476</vt:i4>
      </vt:variant>
      <vt:variant>
        <vt:i4>0</vt:i4>
      </vt:variant>
      <vt:variant>
        <vt:i4>5</vt:i4>
      </vt:variant>
      <vt:variant>
        <vt:lpwstr/>
      </vt:variant>
      <vt:variant>
        <vt:lpwstr>_Toc86670861</vt:lpwstr>
      </vt:variant>
      <vt:variant>
        <vt:i4>1966136</vt:i4>
      </vt:variant>
      <vt:variant>
        <vt:i4>470</vt:i4>
      </vt:variant>
      <vt:variant>
        <vt:i4>0</vt:i4>
      </vt:variant>
      <vt:variant>
        <vt:i4>5</vt:i4>
      </vt:variant>
      <vt:variant>
        <vt:lpwstr/>
      </vt:variant>
      <vt:variant>
        <vt:lpwstr>_Toc86670860</vt:lpwstr>
      </vt:variant>
      <vt:variant>
        <vt:i4>1507387</vt:i4>
      </vt:variant>
      <vt:variant>
        <vt:i4>464</vt:i4>
      </vt:variant>
      <vt:variant>
        <vt:i4>0</vt:i4>
      </vt:variant>
      <vt:variant>
        <vt:i4>5</vt:i4>
      </vt:variant>
      <vt:variant>
        <vt:lpwstr/>
      </vt:variant>
      <vt:variant>
        <vt:lpwstr>_Toc86670859</vt:lpwstr>
      </vt:variant>
      <vt:variant>
        <vt:i4>1441851</vt:i4>
      </vt:variant>
      <vt:variant>
        <vt:i4>458</vt:i4>
      </vt:variant>
      <vt:variant>
        <vt:i4>0</vt:i4>
      </vt:variant>
      <vt:variant>
        <vt:i4>5</vt:i4>
      </vt:variant>
      <vt:variant>
        <vt:lpwstr/>
      </vt:variant>
      <vt:variant>
        <vt:lpwstr>_Toc86670858</vt:lpwstr>
      </vt:variant>
      <vt:variant>
        <vt:i4>1638459</vt:i4>
      </vt:variant>
      <vt:variant>
        <vt:i4>452</vt:i4>
      </vt:variant>
      <vt:variant>
        <vt:i4>0</vt:i4>
      </vt:variant>
      <vt:variant>
        <vt:i4>5</vt:i4>
      </vt:variant>
      <vt:variant>
        <vt:lpwstr/>
      </vt:variant>
      <vt:variant>
        <vt:lpwstr>_Toc86670857</vt:lpwstr>
      </vt:variant>
      <vt:variant>
        <vt:i4>1572923</vt:i4>
      </vt:variant>
      <vt:variant>
        <vt:i4>446</vt:i4>
      </vt:variant>
      <vt:variant>
        <vt:i4>0</vt:i4>
      </vt:variant>
      <vt:variant>
        <vt:i4>5</vt:i4>
      </vt:variant>
      <vt:variant>
        <vt:lpwstr/>
      </vt:variant>
      <vt:variant>
        <vt:lpwstr>_Toc86670856</vt:lpwstr>
      </vt:variant>
      <vt:variant>
        <vt:i4>1769531</vt:i4>
      </vt:variant>
      <vt:variant>
        <vt:i4>440</vt:i4>
      </vt:variant>
      <vt:variant>
        <vt:i4>0</vt:i4>
      </vt:variant>
      <vt:variant>
        <vt:i4>5</vt:i4>
      </vt:variant>
      <vt:variant>
        <vt:lpwstr/>
      </vt:variant>
      <vt:variant>
        <vt:lpwstr>_Toc86670855</vt:lpwstr>
      </vt:variant>
      <vt:variant>
        <vt:i4>1703995</vt:i4>
      </vt:variant>
      <vt:variant>
        <vt:i4>434</vt:i4>
      </vt:variant>
      <vt:variant>
        <vt:i4>0</vt:i4>
      </vt:variant>
      <vt:variant>
        <vt:i4>5</vt:i4>
      </vt:variant>
      <vt:variant>
        <vt:lpwstr/>
      </vt:variant>
      <vt:variant>
        <vt:lpwstr>_Toc86670854</vt:lpwstr>
      </vt:variant>
      <vt:variant>
        <vt:i4>1900603</vt:i4>
      </vt:variant>
      <vt:variant>
        <vt:i4>428</vt:i4>
      </vt:variant>
      <vt:variant>
        <vt:i4>0</vt:i4>
      </vt:variant>
      <vt:variant>
        <vt:i4>5</vt:i4>
      </vt:variant>
      <vt:variant>
        <vt:lpwstr/>
      </vt:variant>
      <vt:variant>
        <vt:lpwstr>_Toc86670853</vt:lpwstr>
      </vt:variant>
      <vt:variant>
        <vt:i4>1835067</vt:i4>
      </vt:variant>
      <vt:variant>
        <vt:i4>422</vt:i4>
      </vt:variant>
      <vt:variant>
        <vt:i4>0</vt:i4>
      </vt:variant>
      <vt:variant>
        <vt:i4>5</vt:i4>
      </vt:variant>
      <vt:variant>
        <vt:lpwstr/>
      </vt:variant>
      <vt:variant>
        <vt:lpwstr>_Toc86670852</vt:lpwstr>
      </vt:variant>
      <vt:variant>
        <vt:i4>2031675</vt:i4>
      </vt:variant>
      <vt:variant>
        <vt:i4>416</vt:i4>
      </vt:variant>
      <vt:variant>
        <vt:i4>0</vt:i4>
      </vt:variant>
      <vt:variant>
        <vt:i4>5</vt:i4>
      </vt:variant>
      <vt:variant>
        <vt:lpwstr/>
      </vt:variant>
      <vt:variant>
        <vt:lpwstr>_Toc86670851</vt:lpwstr>
      </vt:variant>
      <vt:variant>
        <vt:i4>1966139</vt:i4>
      </vt:variant>
      <vt:variant>
        <vt:i4>410</vt:i4>
      </vt:variant>
      <vt:variant>
        <vt:i4>0</vt:i4>
      </vt:variant>
      <vt:variant>
        <vt:i4>5</vt:i4>
      </vt:variant>
      <vt:variant>
        <vt:lpwstr/>
      </vt:variant>
      <vt:variant>
        <vt:lpwstr>_Toc86670850</vt:lpwstr>
      </vt:variant>
      <vt:variant>
        <vt:i4>1507386</vt:i4>
      </vt:variant>
      <vt:variant>
        <vt:i4>404</vt:i4>
      </vt:variant>
      <vt:variant>
        <vt:i4>0</vt:i4>
      </vt:variant>
      <vt:variant>
        <vt:i4>5</vt:i4>
      </vt:variant>
      <vt:variant>
        <vt:lpwstr/>
      </vt:variant>
      <vt:variant>
        <vt:lpwstr>_Toc86670849</vt:lpwstr>
      </vt:variant>
      <vt:variant>
        <vt:i4>1441850</vt:i4>
      </vt:variant>
      <vt:variant>
        <vt:i4>398</vt:i4>
      </vt:variant>
      <vt:variant>
        <vt:i4>0</vt:i4>
      </vt:variant>
      <vt:variant>
        <vt:i4>5</vt:i4>
      </vt:variant>
      <vt:variant>
        <vt:lpwstr/>
      </vt:variant>
      <vt:variant>
        <vt:lpwstr>_Toc86670848</vt:lpwstr>
      </vt:variant>
      <vt:variant>
        <vt:i4>1638458</vt:i4>
      </vt:variant>
      <vt:variant>
        <vt:i4>392</vt:i4>
      </vt:variant>
      <vt:variant>
        <vt:i4>0</vt:i4>
      </vt:variant>
      <vt:variant>
        <vt:i4>5</vt:i4>
      </vt:variant>
      <vt:variant>
        <vt:lpwstr/>
      </vt:variant>
      <vt:variant>
        <vt:lpwstr>_Toc86670847</vt:lpwstr>
      </vt:variant>
      <vt:variant>
        <vt:i4>1572922</vt:i4>
      </vt:variant>
      <vt:variant>
        <vt:i4>386</vt:i4>
      </vt:variant>
      <vt:variant>
        <vt:i4>0</vt:i4>
      </vt:variant>
      <vt:variant>
        <vt:i4>5</vt:i4>
      </vt:variant>
      <vt:variant>
        <vt:lpwstr/>
      </vt:variant>
      <vt:variant>
        <vt:lpwstr>_Toc86670846</vt:lpwstr>
      </vt:variant>
      <vt:variant>
        <vt:i4>1769530</vt:i4>
      </vt:variant>
      <vt:variant>
        <vt:i4>380</vt:i4>
      </vt:variant>
      <vt:variant>
        <vt:i4>0</vt:i4>
      </vt:variant>
      <vt:variant>
        <vt:i4>5</vt:i4>
      </vt:variant>
      <vt:variant>
        <vt:lpwstr/>
      </vt:variant>
      <vt:variant>
        <vt:lpwstr>_Toc86670845</vt:lpwstr>
      </vt:variant>
      <vt:variant>
        <vt:i4>1703994</vt:i4>
      </vt:variant>
      <vt:variant>
        <vt:i4>374</vt:i4>
      </vt:variant>
      <vt:variant>
        <vt:i4>0</vt:i4>
      </vt:variant>
      <vt:variant>
        <vt:i4>5</vt:i4>
      </vt:variant>
      <vt:variant>
        <vt:lpwstr/>
      </vt:variant>
      <vt:variant>
        <vt:lpwstr>_Toc86670844</vt:lpwstr>
      </vt:variant>
      <vt:variant>
        <vt:i4>1900602</vt:i4>
      </vt:variant>
      <vt:variant>
        <vt:i4>368</vt:i4>
      </vt:variant>
      <vt:variant>
        <vt:i4>0</vt:i4>
      </vt:variant>
      <vt:variant>
        <vt:i4>5</vt:i4>
      </vt:variant>
      <vt:variant>
        <vt:lpwstr/>
      </vt:variant>
      <vt:variant>
        <vt:lpwstr>_Toc86670843</vt:lpwstr>
      </vt:variant>
      <vt:variant>
        <vt:i4>1835066</vt:i4>
      </vt:variant>
      <vt:variant>
        <vt:i4>362</vt:i4>
      </vt:variant>
      <vt:variant>
        <vt:i4>0</vt:i4>
      </vt:variant>
      <vt:variant>
        <vt:i4>5</vt:i4>
      </vt:variant>
      <vt:variant>
        <vt:lpwstr/>
      </vt:variant>
      <vt:variant>
        <vt:lpwstr>_Toc86670842</vt:lpwstr>
      </vt:variant>
      <vt:variant>
        <vt:i4>2031674</vt:i4>
      </vt:variant>
      <vt:variant>
        <vt:i4>356</vt:i4>
      </vt:variant>
      <vt:variant>
        <vt:i4>0</vt:i4>
      </vt:variant>
      <vt:variant>
        <vt:i4>5</vt:i4>
      </vt:variant>
      <vt:variant>
        <vt:lpwstr/>
      </vt:variant>
      <vt:variant>
        <vt:lpwstr>_Toc86670841</vt:lpwstr>
      </vt:variant>
      <vt:variant>
        <vt:i4>1572919</vt:i4>
      </vt:variant>
      <vt:variant>
        <vt:i4>347</vt:i4>
      </vt:variant>
      <vt:variant>
        <vt:i4>0</vt:i4>
      </vt:variant>
      <vt:variant>
        <vt:i4>5</vt:i4>
      </vt:variant>
      <vt:variant>
        <vt:lpwstr/>
      </vt:variant>
      <vt:variant>
        <vt:lpwstr>_Toc86670799</vt:lpwstr>
      </vt:variant>
      <vt:variant>
        <vt:i4>1638455</vt:i4>
      </vt:variant>
      <vt:variant>
        <vt:i4>341</vt:i4>
      </vt:variant>
      <vt:variant>
        <vt:i4>0</vt:i4>
      </vt:variant>
      <vt:variant>
        <vt:i4>5</vt:i4>
      </vt:variant>
      <vt:variant>
        <vt:lpwstr/>
      </vt:variant>
      <vt:variant>
        <vt:lpwstr>_Toc86670798</vt:lpwstr>
      </vt:variant>
      <vt:variant>
        <vt:i4>1441847</vt:i4>
      </vt:variant>
      <vt:variant>
        <vt:i4>335</vt:i4>
      </vt:variant>
      <vt:variant>
        <vt:i4>0</vt:i4>
      </vt:variant>
      <vt:variant>
        <vt:i4>5</vt:i4>
      </vt:variant>
      <vt:variant>
        <vt:lpwstr/>
      </vt:variant>
      <vt:variant>
        <vt:lpwstr>_Toc86670797</vt:lpwstr>
      </vt:variant>
      <vt:variant>
        <vt:i4>1507383</vt:i4>
      </vt:variant>
      <vt:variant>
        <vt:i4>329</vt:i4>
      </vt:variant>
      <vt:variant>
        <vt:i4>0</vt:i4>
      </vt:variant>
      <vt:variant>
        <vt:i4>5</vt:i4>
      </vt:variant>
      <vt:variant>
        <vt:lpwstr/>
      </vt:variant>
      <vt:variant>
        <vt:lpwstr>_Toc86670796</vt:lpwstr>
      </vt:variant>
      <vt:variant>
        <vt:i4>1310775</vt:i4>
      </vt:variant>
      <vt:variant>
        <vt:i4>323</vt:i4>
      </vt:variant>
      <vt:variant>
        <vt:i4>0</vt:i4>
      </vt:variant>
      <vt:variant>
        <vt:i4>5</vt:i4>
      </vt:variant>
      <vt:variant>
        <vt:lpwstr/>
      </vt:variant>
      <vt:variant>
        <vt:lpwstr>_Toc86670795</vt:lpwstr>
      </vt:variant>
      <vt:variant>
        <vt:i4>1376311</vt:i4>
      </vt:variant>
      <vt:variant>
        <vt:i4>317</vt:i4>
      </vt:variant>
      <vt:variant>
        <vt:i4>0</vt:i4>
      </vt:variant>
      <vt:variant>
        <vt:i4>5</vt:i4>
      </vt:variant>
      <vt:variant>
        <vt:lpwstr/>
      </vt:variant>
      <vt:variant>
        <vt:lpwstr>_Toc86670794</vt:lpwstr>
      </vt:variant>
      <vt:variant>
        <vt:i4>1179703</vt:i4>
      </vt:variant>
      <vt:variant>
        <vt:i4>311</vt:i4>
      </vt:variant>
      <vt:variant>
        <vt:i4>0</vt:i4>
      </vt:variant>
      <vt:variant>
        <vt:i4>5</vt:i4>
      </vt:variant>
      <vt:variant>
        <vt:lpwstr/>
      </vt:variant>
      <vt:variant>
        <vt:lpwstr>_Toc86670793</vt:lpwstr>
      </vt:variant>
      <vt:variant>
        <vt:i4>1245239</vt:i4>
      </vt:variant>
      <vt:variant>
        <vt:i4>305</vt:i4>
      </vt:variant>
      <vt:variant>
        <vt:i4>0</vt:i4>
      </vt:variant>
      <vt:variant>
        <vt:i4>5</vt:i4>
      </vt:variant>
      <vt:variant>
        <vt:lpwstr/>
      </vt:variant>
      <vt:variant>
        <vt:lpwstr>_Toc86670792</vt:lpwstr>
      </vt:variant>
      <vt:variant>
        <vt:i4>1048631</vt:i4>
      </vt:variant>
      <vt:variant>
        <vt:i4>299</vt:i4>
      </vt:variant>
      <vt:variant>
        <vt:i4>0</vt:i4>
      </vt:variant>
      <vt:variant>
        <vt:i4>5</vt:i4>
      </vt:variant>
      <vt:variant>
        <vt:lpwstr/>
      </vt:variant>
      <vt:variant>
        <vt:lpwstr>_Toc86670791</vt:lpwstr>
      </vt:variant>
      <vt:variant>
        <vt:i4>1114167</vt:i4>
      </vt:variant>
      <vt:variant>
        <vt:i4>293</vt:i4>
      </vt:variant>
      <vt:variant>
        <vt:i4>0</vt:i4>
      </vt:variant>
      <vt:variant>
        <vt:i4>5</vt:i4>
      </vt:variant>
      <vt:variant>
        <vt:lpwstr/>
      </vt:variant>
      <vt:variant>
        <vt:lpwstr>_Toc86670790</vt:lpwstr>
      </vt:variant>
      <vt:variant>
        <vt:i4>1572918</vt:i4>
      </vt:variant>
      <vt:variant>
        <vt:i4>287</vt:i4>
      </vt:variant>
      <vt:variant>
        <vt:i4>0</vt:i4>
      </vt:variant>
      <vt:variant>
        <vt:i4>5</vt:i4>
      </vt:variant>
      <vt:variant>
        <vt:lpwstr/>
      </vt:variant>
      <vt:variant>
        <vt:lpwstr>_Toc86670789</vt:lpwstr>
      </vt:variant>
      <vt:variant>
        <vt:i4>1638454</vt:i4>
      </vt:variant>
      <vt:variant>
        <vt:i4>281</vt:i4>
      </vt:variant>
      <vt:variant>
        <vt:i4>0</vt:i4>
      </vt:variant>
      <vt:variant>
        <vt:i4>5</vt:i4>
      </vt:variant>
      <vt:variant>
        <vt:lpwstr/>
      </vt:variant>
      <vt:variant>
        <vt:lpwstr>_Toc86670788</vt:lpwstr>
      </vt:variant>
      <vt:variant>
        <vt:i4>1441846</vt:i4>
      </vt:variant>
      <vt:variant>
        <vt:i4>275</vt:i4>
      </vt:variant>
      <vt:variant>
        <vt:i4>0</vt:i4>
      </vt:variant>
      <vt:variant>
        <vt:i4>5</vt:i4>
      </vt:variant>
      <vt:variant>
        <vt:lpwstr/>
      </vt:variant>
      <vt:variant>
        <vt:lpwstr>_Toc86670787</vt:lpwstr>
      </vt:variant>
      <vt:variant>
        <vt:i4>1507382</vt:i4>
      </vt:variant>
      <vt:variant>
        <vt:i4>269</vt:i4>
      </vt:variant>
      <vt:variant>
        <vt:i4>0</vt:i4>
      </vt:variant>
      <vt:variant>
        <vt:i4>5</vt:i4>
      </vt:variant>
      <vt:variant>
        <vt:lpwstr/>
      </vt:variant>
      <vt:variant>
        <vt:lpwstr>_Toc86670786</vt:lpwstr>
      </vt:variant>
      <vt:variant>
        <vt:i4>1310774</vt:i4>
      </vt:variant>
      <vt:variant>
        <vt:i4>263</vt:i4>
      </vt:variant>
      <vt:variant>
        <vt:i4>0</vt:i4>
      </vt:variant>
      <vt:variant>
        <vt:i4>5</vt:i4>
      </vt:variant>
      <vt:variant>
        <vt:lpwstr/>
      </vt:variant>
      <vt:variant>
        <vt:lpwstr>_Toc86670785</vt:lpwstr>
      </vt:variant>
      <vt:variant>
        <vt:i4>1376310</vt:i4>
      </vt:variant>
      <vt:variant>
        <vt:i4>257</vt:i4>
      </vt:variant>
      <vt:variant>
        <vt:i4>0</vt:i4>
      </vt:variant>
      <vt:variant>
        <vt:i4>5</vt:i4>
      </vt:variant>
      <vt:variant>
        <vt:lpwstr/>
      </vt:variant>
      <vt:variant>
        <vt:lpwstr>_Toc86670784</vt:lpwstr>
      </vt:variant>
      <vt:variant>
        <vt:i4>1179702</vt:i4>
      </vt:variant>
      <vt:variant>
        <vt:i4>251</vt:i4>
      </vt:variant>
      <vt:variant>
        <vt:i4>0</vt:i4>
      </vt:variant>
      <vt:variant>
        <vt:i4>5</vt:i4>
      </vt:variant>
      <vt:variant>
        <vt:lpwstr/>
      </vt:variant>
      <vt:variant>
        <vt:lpwstr>_Toc86670783</vt:lpwstr>
      </vt:variant>
      <vt:variant>
        <vt:i4>1245238</vt:i4>
      </vt:variant>
      <vt:variant>
        <vt:i4>245</vt:i4>
      </vt:variant>
      <vt:variant>
        <vt:i4>0</vt:i4>
      </vt:variant>
      <vt:variant>
        <vt:i4>5</vt:i4>
      </vt:variant>
      <vt:variant>
        <vt:lpwstr/>
      </vt:variant>
      <vt:variant>
        <vt:lpwstr>_Toc86670782</vt:lpwstr>
      </vt:variant>
      <vt:variant>
        <vt:i4>1048630</vt:i4>
      </vt:variant>
      <vt:variant>
        <vt:i4>239</vt:i4>
      </vt:variant>
      <vt:variant>
        <vt:i4>0</vt:i4>
      </vt:variant>
      <vt:variant>
        <vt:i4>5</vt:i4>
      </vt:variant>
      <vt:variant>
        <vt:lpwstr/>
      </vt:variant>
      <vt:variant>
        <vt:lpwstr>_Toc86670781</vt:lpwstr>
      </vt:variant>
      <vt:variant>
        <vt:i4>1114166</vt:i4>
      </vt:variant>
      <vt:variant>
        <vt:i4>233</vt:i4>
      </vt:variant>
      <vt:variant>
        <vt:i4>0</vt:i4>
      </vt:variant>
      <vt:variant>
        <vt:i4>5</vt:i4>
      </vt:variant>
      <vt:variant>
        <vt:lpwstr/>
      </vt:variant>
      <vt:variant>
        <vt:lpwstr>_Toc86670780</vt:lpwstr>
      </vt:variant>
      <vt:variant>
        <vt:i4>1572921</vt:i4>
      </vt:variant>
      <vt:variant>
        <vt:i4>227</vt:i4>
      </vt:variant>
      <vt:variant>
        <vt:i4>0</vt:i4>
      </vt:variant>
      <vt:variant>
        <vt:i4>5</vt:i4>
      </vt:variant>
      <vt:variant>
        <vt:lpwstr/>
      </vt:variant>
      <vt:variant>
        <vt:lpwstr>_Toc86670779</vt:lpwstr>
      </vt:variant>
      <vt:variant>
        <vt:i4>1638457</vt:i4>
      </vt:variant>
      <vt:variant>
        <vt:i4>221</vt:i4>
      </vt:variant>
      <vt:variant>
        <vt:i4>0</vt:i4>
      </vt:variant>
      <vt:variant>
        <vt:i4>5</vt:i4>
      </vt:variant>
      <vt:variant>
        <vt:lpwstr/>
      </vt:variant>
      <vt:variant>
        <vt:lpwstr>_Toc86670778</vt:lpwstr>
      </vt:variant>
      <vt:variant>
        <vt:i4>1441849</vt:i4>
      </vt:variant>
      <vt:variant>
        <vt:i4>215</vt:i4>
      </vt:variant>
      <vt:variant>
        <vt:i4>0</vt:i4>
      </vt:variant>
      <vt:variant>
        <vt:i4>5</vt:i4>
      </vt:variant>
      <vt:variant>
        <vt:lpwstr/>
      </vt:variant>
      <vt:variant>
        <vt:lpwstr>_Toc86670777</vt:lpwstr>
      </vt:variant>
      <vt:variant>
        <vt:i4>1507385</vt:i4>
      </vt:variant>
      <vt:variant>
        <vt:i4>209</vt:i4>
      </vt:variant>
      <vt:variant>
        <vt:i4>0</vt:i4>
      </vt:variant>
      <vt:variant>
        <vt:i4>5</vt:i4>
      </vt:variant>
      <vt:variant>
        <vt:lpwstr/>
      </vt:variant>
      <vt:variant>
        <vt:lpwstr>_Toc86670776</vt:lpwstr>
      </vt:variant>
      <vt:variant>
        <vt:i4>1310777</vt:i4>
      </vt:variant>
      <vt:variant>
        <vt:i4>203</vt:i4>
      </vt:variant>
      <vt:variant>
        <vt:i4>0</vt:i4>
      </vt:variant>
      <vt:variant>
        <vt:i4>5</vt:i4>
      </vt:variant>
      <vt:variant>
        <vt:lpwstr/>
      </vt:variant>
      <vt:variant>
        <vt:lpwstr>_Toc86670775</vt:lpwstr>
      </vt:variant>
      <vt:variant>
        <vt:i4>1376313</vt:i4>
      </vt:variant>
      <vt:variant>
        <vt:i4>197</vt:i4>
      </vt:variant>
      <vt:variant>
        <vt:i4>0</vt:i4>
      </vt:variant>
      <vt:variant>
        <vt:i4>5</vt:i4>
      </vt:variant>
      <vt:variant>
        <vt:lpwstr/>
      </vt:variant>
      <vt:variant>
        <vt:lpwstr>_Toc86670774</vt:lpwstr>
      </vt:variant>
      <vt:variant>
        <vt:i4>1179705</vt:i4>
      </vt:variant>
      <vt:variant>
        <vt:i4>191</vt:i4>
      </vt:variant>
      <vt:variant>
        <vt:i4>0</vt:i4>
      </vt:variant>
      <vt:variant>
        <vt:i4>5</vt:i4>
      </vt:variant>
      <vt:variant>
        <vt:lpwstr/>
      </vt:variant>
      <vt:variant>
        <vt:lpwstr>_Toc86670773</vt:lpwstr>
      </vt:variant>
      <vt:variant>
        <vt:i4>1966141</vt:i4>
      </vt:variant>
      <vt:variant>
        <vt:i4>182</vt:i4>
      </vt:variant>
      <vt:variant>
        <vt:i4>0</vt:i4>
      </vt:variant>
      <vt:variant>
        <vt:i4>5</vt:i4>
      </vt:variant>
      <vt:variant>
        <vt:lpwstr/>
      </vt:variant>
      <vt:variant>
        <vt:lpwstr>_Toc86673008</vt:lpwstr>
      </vt:variant>
      <vt:variant>
        <vt:i4>1114173</vt:i4>
      </vt:variant>
      <vt:variant>
        <vt:i4>176</vt:i4>
      </vt:variant>
      <vt:variant>
        <vt:i4>0</vt:i4>
      </vt:variant>
      <vt:variant>
        <vt:i4>5</vt:i4>
      </vt:variant>
      <vt:variant>
        <vt:lpwstr/>
      </vt:variant>
      <vt:variant>
        <vt:lpwstr>_Toc86673007</vt:lpwstr>
      </vt:variant>
      <vt:variant>
        <vt:i4>1048637</vt:i4>
      </vt:variant>
      <vt:variant>
        <vt:i4>170</vt:i4>
      </vt:variant>
      <vt:variant>
        <vt:i4>0</vt:i4>
      </vt:variant>
      <vt:variant>
        <vt:i4>5</vt:i4>
      </vt:variant>
      <vt:variant>
        <vt:lpwstr/>
      </vt:variant>
      <vt:variant>
        <vt:lpwstr>_Toc86673006</vt:lpwstr>
      </vt:variant>
      <vt:variant>
        <vt:i4>1245245</vt:i4>
      </vt:variant>
      <vt:variant>
        <vt:i4>164</vt:i4>
      </vt:variant>
      <vt:variant>
        <vt:i4>0</vt:i4>
      </vt:variant>
      <vt:variant>
        <vt:i4>5</vt:i4>
      </vt:variant>
      <vt:variant>
        <vt:lpwstr/>
      </vt:variant>
      <vt:variant>
        <vt:lpwstr>_Toc86673005</vt:lpwstr>
      </vt:variant>
      <vt:variant>
        <vt:i4>1179709</vt:i4>
      </vt:variant>
      <vt:variant>
        <vt:i4>158</vt:i4>
      </vt:variant>
      <vt:variant>
        <vt:i4>0</vt:i4>
      </vt:variant>
      <vt:variant>
        <vt:i4>5</vt:i4>
      </vt:variant>
      <vt:variant>
        <vt:lpwstr/>
      </vt:variant>
      <vt:variant>
        <vt:lpwstr>_Toc86673004</vt:lpwstr>
      </vt:variant>
      <vt:variant>
        <vt:i4>1376317</vt:i4>
      </vt:variant>
      <vt:variant>
        <vt:i4>152</vt:i4>
      </vt:variant>
      <vt:variant>
        <vt:i4>0</vt:i4>
      </vt:variant>
      <vt:variant>
        <vt:i4>5</vt:i4>
      </vt:variant>
      <vt:variant>
        <vt:lpwstr/>
      </vt:variant>
      <vt:variant>
        <vt:lpwstr>_Toc86673003</vt:lpwstr>
      </vt:variant>
      <vt:variant>
        <vt:i4>1310781</vt:i4>
      </vt:variant>
      <vt:variant>
        <vt:i4>146</vt:i4>
      </vt:variant>
      <vt:variant>
        <vt:i4>0</vt:i4>
      </vt:variant>
      <vt:variant>
        <vt:i4>5</vt:i4>
      </vt:variant>
      <vt:variant>
        <vt:lpwstr/>
      </vt:variant>
      <vt:variant>
        <vt:lpwstr>_Toc86673002</vt:lpwstr>
      </vt:variant>
      <vt:variant>
        <vt:i4>1507389</vt:i4>
      </vt:variant>
      <vt:variant>
        <vt:i4>140</vt:i4>
      </vt:variant>
      <vt:variant>
        <vt:i4>0</vt:i4>
      </vt:variant>
      <vt:variant>
        <vt:i4>5</vt:i4>
      </vt:variant>
      <vt:variant>
        <vt:lpwstr/>
      </vt:variant>
      <vt:variant>
        <vt:lpwstr>_Toc86673001</vt:lpwstr>
      </vt:variant>
      <vt:variant>
        <vt:i4>1441853</vt:i4>
      </vt:variant>
      <vt:variant>
        <vt:i4>134</vt:i4>
      </vt:variant>
      <vt:variant>
        <vt:i4>0</vt:i4>
      </vt:variant>
      <vt:variant>
        <vt:i4>5</vt:i4>
      </vt:variant>
      <vt:variant>
        <vt:lpwstr/>
      </vt:variant>
      <vt:variant>
        <vt:lpwstr>_Toc86673000</vt:lpwstr>
      </vt:variant>
      <vt:variant>
        <vt:i4>1441845</vt:i4>
      </vt:variant>
      <vt:variant>
        <vt:i4>128</vt:i4>
      </vt:variant>
      <vt:variant>
        <vt:i4>0</vt:i4>
      </vt:variant>
      <vt:variant>
        <vt:i4>5</vt:i4>
      </vt:variant>
      <vt:variant>
        <vt:lpwstr/>
      </vt:variant>
      <vt:variant>
        <vt:lpwstr>_Toc86672999</vt:lpwstr>
      </vt:variant>
      <vt:variant>
        <vt:i4>1507381</vt:i4>
      </vt:variant>
      <vt:variant>
        <vt:i4>122</vt:i4>
      </vt:variant>
      <vt:variant>
        <vt:i4>0</vt:i4>
      </vt:variant>
      <vt:variant>
        <vt:i4>5</vt:i4>
      </vt:variant>
      <vt:variant>
        <vt:lpwstr/>
      </vt:variant>
      <vt:variant>
        <vt:lpwstr>_Toc86672998</vt:lpwstr>
      </vt:variant>
      <vt:variant>
        <vt:i4>1572917</vt:i4>
      </vt:variant>
      <vt:variant>
        <vt:i4>116</vt:i4>
      </vt:variant>
      <vt:variant>
        <vt:i4>0</vt:i4>
      </vt:variant>
      <vt:variant>
        <vt:i4>5</vt:i4>
      </vt:variant>
      <vt:variant>
        <vt:lpwstr/>
      </vt:variant>
      <vt:variant>
        <vt:lpwstr>_Toc86672997</vt:lpwstr>
      </vt:variant>
      <vt:variant>
        <vt:i4>1638453</vt:i4>
      </vt:variant>
      <vt:variant>
        <vt:i4>110</vt:i4>
      </vt:variant>
      <vt:variant>
        <vt:i4>0</vt:i4>
      </vt:variant>
      <vt:variant>
        <vt:i4>5</vt:i4>
      </vt:variant>
      <vt:variant>
        <vt:lpwstr/>
      </vt:variant>
      <vt:variant>
        <vt:lpwstr>_Toc86672996</vt:lpwstr>
      </vt:variant>
      <vt:variant>
        <vt:i4>1703989</vt:i4>
      </vt:variant>
      <vt:variant>
        <vt:i4>104</vt:i4>
      </vt:variant>
      <vt:variant>
        <vt:i4>0</vt:i4>
      </vt:variant>
      <vt:variant>
        <vt:i4>5</vt:i4>
      </vt:variant>
      <vt:variant>
        <vt:lpwstr/>
      </vt:variant>
      <vt:variant>
        <vt:lpwstr>_Toc86672995</vt:lpwstr>
      </vt:variant>
      <vt:variant>
        <vt:i4>1769525</vt:i4>
      </vt:variant>
      <vt:variant>
        <vt:i4>98</vt:i4>
      </vt:variant>
      <vt:variant>
        <vt:i4>0</vt:i4>
      </vt:variant>
      <vt:variant>
        <vt:i4>5</vt:i4>
      </vt:variant>
      <vt:variant>
        <vt:lpwstr/>
      </vt:variant>
      <vt:variant>
        <vt:lpwstr>_Toc86672994</vt:lpwstr>
      </vt:variant>
      <vt:variant>
        <vt:i4>1835061</vt:i4>
      </vt:variant>
      <vt:variant>
        <vt:i4>92</vt:i4>
      </vt:variant>
      <vt:variant>
        <vt:i4>0</vt:i4>
      </vt:variant>
      <vt:variant>
        <vt:i4>5</vt:i4>
      </vt:variant>
      <vt:variant>
        <vt:lpwstr/>
      </vt:variant>
      <vt:variant>
        <vt:lpwstr>_Toc86672993</vt:lpwstr>
      </vt:variant>
      <vt:variant>
        <vt:i4>1900597</vt:i4>
      </vt:variant>
      <vt:variant>
        <vt:i4>86</vt:i4>
      </vt:variant>
      <vt:variant>
        <vt:i4>0</vt:i4>
      </vt:variant>
      <vt:variant>
        <vt:i4>5</vt:i4>
      </vt:variant>
      <vt:variant>
        <vt:lpwstr/>
      </vt:variant>
      <vt:variant>
        <vt:lpwstr>_Toc86672992</vt:lpwstr>
      </vt:variant>
      <vt:variant>
        <vt:i4>1966133</vt:i4>
      </vt:variant>
      <vt:variant>
        <vt:i4>80</vt:i4>
      </vt:variant>
      <vt:variant>
        <vt:i4>0</vt:i4>
      </vt:variant>
      <vt:variant>
        <vt:i4>5</vt:i4>
      </vt:variant>
      <vt:variant>
        <vt:lpwstr/>
      </vt:variant>
      <vt:variant>
        <vt:lpwstr>_Toc86672991</vt:lpwstr>
      </vt:variant>
      <vt:variant>
        <vt:i4>2031669</vt:i4>
      </vt:variant>
      <vt:variant>
        <vt:i4>74</vt:i4>
      </vt:variant>
      <vt:variant>
        <vt:i4>0</vt:i4>
      </vt:variant>
      <vt:variant>
        <vt:i4>5</vt:i4>
      </vt:variant>
      <vt:variant>
        <vt:lpwstr/>
      </vt:variant>
      <vt:variant>
        <vt:lpwstr>_Toc86672990</vt:lpwstr>
      </vt:variant>
      <vt:variant>
        <vt:i4>1441844</vt:i4>
      </vt:variant>
      <vt:variant>
        <vt:i4>68</vt:i4>
      </vt:variant>
      <vt:variant>
        <vt:i4>0</vt:i4>
      </vt:variant>
      <vt:variant>
        <vt:i4>5</vt:i4>
      </vt:variant>
      <vt:variant>
        <vt:lpwstr/>
      </vt:variant>
      <vt:variant>
        <vt:lpwstr>_Toc86672989</vt:lpwstr>
      </vt:variant>
      <vt:variant>
        <vt:i4>8126531</vt:i4>
      </vt:variant>
      <vt:variant>
        <vt:i4>63</vt:i4>
      </vt:variant>
      <vt:variant>
        <vt:i4>0</vt:i4>
      </vt:variant>
      <vt:variant>
        <vt:i4>5</vt:i4>
      </vt:variant>
      <vt:variant>
        <vt:lpwstr>mailto:robert.hinchliffe@bristol.ac.uk</vt:lpwstr>
      </vt:variant>
      <vt:variant>
        <vt:lpwstr/>
      </vt:variant>
      <vt:variant>
        <vt:i4>7864388</vt:i4>
      </vt:variant>
      <vt:variant>
        <vt:i4>60</vt:i4>
      </vt:variant>
      <vt:variant>
        <vt:i4>0</vt:i4>
      </vt:variant>
      <vt:variant>
        <vt:i4>5</vt:i4>
      </vt:variant>
      <vt:variant>
        <vt:lpwstr>mailto:drneilsmart@hotmail.com</vt:lpwstr>
      </vt:variant>
      <vt:variant>
        <vt:lpwstr/>
      </vt:variant>
      <vt:variant>
        <vt:i4>6750289</vt:i4>
      </vt:variant>
      <vt:variant>
        <vt:i4>57</vt:i4>
      </vt:variant>
      <vt:variant>
        <vt:i4>0</vt:i4>
      </vt:variant>
      <vt:variant>
        <vt:i4>5</vt:i4>
      </vt:variant>
      <vt:variant>
        <vt:lpwstr>mailto:Luke.Keele@pennmedicine.upenn.edu</vt:lpwstr>
      </vt:variant>
      <vt:variant>
        <vt:lpwstr/>
      </vt:variant>
      <vt:variant>
        <vt:i4>2752604</vt:i4>
      </vt:variant>
      <vt:variant>
        <vt:i4>54</vt:i4>
      </vt:variant>
      <vt:variant>
        <vt:i4>0</vt:i4>
      </vt:variant>
      <vt:variant>
        <vt:i4>5</vt:i4>
      </vt:variant>
      <vt:variant>
        <vt:lpwstr>mailto:ramani.moonesinghe@nhs.net</vt:lpwstr>
      </vt:variant>
      <vt:variant>
        <vt:lpwstr/>
      </vt:variant>
      <vt:variant>
        <vt:i4>65571</vt:i4>
      </vt:variant>
      <vt:variant>
        <vt:i4>51</vt:i4>
      </vt:variant>
      <vt:variant>
        <vt:i4>0</vt:i4>
      </vt:variant>
      <vt:variant>
        <vt:i4>5</vt:i4>
      </vt:variant>
      <vt:variant>
        <vt:lpwstr>mailto:geoff.bellingan1@nhs.net</vt:lpwstr>
      </vt:variant>
      <vt:variant>
        <vt:lpwstr/>
      </vt:variant>
      <vt:variant>
        <vt:i4>4849724</vt:i4>
      </vt:variant>
      <vt:variant>
        <vt:i4>48</vt:i4>
      </vt:variant>
      <vt:variant>
        <vt:i4>0</vt:i4>
      </vt:variant>
      <vt:variant>
        <vt:i4>5</vt:i4>
      </vt:variant>
      <vt:variant>
        <vt:lpwstr>mailto:charlton808@btinternet.com</vt:lpwstr>
      </vt:variant>
      <vt:variant>
        <vt:lpwstr/>
      </vt:variant>
      <vt:variant>
        <vt:i4>3473434</vt:i4>
      </vt:variant>
      <vt:variant>
        <vt:i4>45</vt:i4>
      </vt:variant>
      <vt:variant>
        <vt:i4>0</vt:i4>
      </vt:variant>
      <vt:variant>
        <vt:i4>5</vt:i4>
      </vt:variant>
      <vt:variant>
        <vt:lpwstr>mailto:claire.snowdon@lshtm.ac.uk</vt:lpwstr>
      </vt:variant>
      <vt:variant>
        <vt:lpwstr/>
      </vt:variant>
      <vt:variant>
        <vt:i4>1376364</vt:i4>
      </vt:variant>
      <vt:variant>
        <vt:i4>42</vt:i4>
      </vt:variant>
      <vt:variant>
        <vt:i4>0</vt:i4>
      </vt:variant>
      <vt:variant>
        <vt:i4>5</vt:i4>
      </vt:variant>
      <vt:variant>
        <vt:lpwstr>mailto:beth@ejsilver.co.uk</vt:lpwstr>
      </vt:variant>
      <vt:variant>
        <vt:lpwstr/>
      </vt:variant>
      <vt:variant>
        <vt:i4>6881364</vt:i4>
      </vt:variant>
      <vt:variant>
        <vt:i4>39</vt:i4>
      </vt:variant>
      <vt:variant>
        <vt:i4>0</vt:i4>
      </vt:variant>
      <vt:variant>
        <vt:i4>5</vt:i4>
      </vt:variant>
      <vt:variant>
        <vt:lpwstr>mailto:R.Silverwood@ucl.ac.uk</vt:lpwstr>
      </vt:variant>
      <vt:variant>
        <vt:lpwstr/>
      </vt:variant>
      <vt:variant>
        <vt:i4>6815744</vt:i4>
      </vt:variant>
      <vt:variant>
        <vt:i4>36</vt:i4>
      </vt:variant>
      <vt:variant>
        <vt:i4>0</vt:i4>
      </vt:variant>
      <vt:variant>
        <vt:i4>5</vt:i4>
      </vt:variant>
      <vt:variant>
        <vt:lpwstr>mailto:tommaso.kircheis@gmail.com</vt:lpwstr>
      </vt:variant>
      <vt:variant>
        <vt:lpwstr/>
      </vt:variant>
      <vt:variant>
        <vt:i4>4653107</vt:i4>
      </vt:variant>
      <vt:variant>
        <vt:i4>32</vt:i4>
      </vt:variant>
      <vt:variant>
        <vt:i4>0</vt:i4>
      </vt:variant>
      <vt:variant>
        <vt:i4>5</vt:i4>
      </vt:variant>
      <vt:variant>
        <vt:lpwstr>mailto:dcromwell@rcseng.ac.uk</vt:lpwstr>
      </vt:variant>
      <vt:variant>
        <vt:lpwstr/>
      </vt:variant>
      <vt:variant>
        <vt:i4>4653107</vt:i4>
      </vt:variant>
      <vt:variant>
        <vt:i4>30</vt:i4>
      </vt:variant>
      <vt:variant>
        <vt:i4>0</vt:i4>
      </vt:variant>
      <vt:variant>
        <vt:i4>5</vt:i4>
      </vt:variant>
      <vt:variant>
        <vt:lpwstr>mailto:dcromwell@rcseng.ac.uk</vt:lpwstr>
      </vt:variant>
      <vt:variant>
        <vt:lpwstr/>
      </vt:variant>
      <vt:variant>
        <vt:i4>6619161</vt:i4>
      </vt:variant>
      <vt:variant>
        <vt:i4>26</vt:i4>
      </vt:variant>
      <vt:variant>
        <vt:i4>0</vt:i4>
      </vt:variant>
      <vt:variant>
        <vt:i4>5</vt:i4>
      </vt:variant>
      <vt:variant>
        <vt:lpwstr>mailto:david.lugo-palacios@lshtm.ac.uk</vt:lpwstr>
      </vt:variant>
      <vt:variant>
        <vt:lpwstr/>
      </vt:variant>
      <vt:variant>
        <vt:i4>6619161</vt:i4>
      </vt:variant>
      <vt:variant>
        <vt:i4>24</vt:i4>
      </vt:variant>
      <vt:variant>
        <vt:i4>0</vt:i4>
      </vt:variant>
      <vt:variant>
        <vt:i4>5</vt:i4>
      </vt:variant>
      <vt:variant>
        <vt:lpwstr>mailto:david.lugo-palacios@lshtm.ac.uk</vt:lpwstr>
      </vt:variant>
      <vt:variant>
        <vt:lpwstr/>
      </vt:variant>
      <vt:variant>
        <vt:i4>7012424</vt:i4>
      </vt:variant>
      <vt:variant>
        <vt:i4>20</vt:i4>
      </vt:variant>
      <vt:variant>
        <vt:i4>0</vt:i4>
      </vt:variant>
      <vt:variant>
        <vt:i4>5</vt:i4>
      </vt:variant>
      <vt:variant>
        <vt:lpwstr>mailto:stephen.oneill@lshtm.ac.uk</vt:lpwstr>
      </vt:variant>
      <vt:variant>
        <vt:lpwstr/>
      </vt:variant>
      <vt:variant>
        <vt:i4>7012424</vt:i4>
      </vt:variant>
      <vt:variant>
        <vt:i4>18</vt:i4>
      </vt:variant>
      <vt:variant>
        <vt:i4>0</vt:i4>
      </vt:variant>
      <vt:variant>
        <vt:i4>5</vt:i4>
      </vt:variant>
      <vt:variant>
        <vt:lpwstr>mailto:stephen.oneill@lshtm.ac.uk</vt:lpwstr>
      </vt:variant>
      <vt:variant>
        <vt:lpwstr/>
      </vt:variant>
      <vt:variant>
        <vt:i4>5177441</vt:i4>
      </vt:variant>
      <vt:variant>
        <vt:i4>14</vt:i4>
      </vt:variant>
      <vt:variant>
        <vt:i4>0</vt:i4>
      </vt:variant>
      <vt:variant>
        <vt:i4>5</vt:i4>
      </vt:variant>
      <vt:variant>
        <vt:lpwstr>mailto:Silvia.Moler@lshtm.ac.uk</vt:lpwstr>
      </vt:variant>
      <vt:variant>
        <vt:lpwstr/>
      </vt:variant>
      <vt:variant>
        <vt:i4>5177441</vt:i4>
      </vt:variant>
      <vt:variant>
        <vt:i4>12</vt:i4>
      </vt:variant>
      <vt:variant>
        <vt:i4>0</vt:i4>
      </vt:variant>
      <vt:variant>
        <vt:i4>5</vt:i4>
      </vt:variant>
      <vt:variant>
        <vt:lpwstr>mailto:Silvia.Moler@lshtm.ac.uk</vt:lpwstr>
      </vt:variant>
      <vt:variant>
        <vt:lpwstr/>
      </vt:variant>
      <vt:variant>
        <vt:i4>4915310</vt:i4>
      </vt:variant>
      <vt:variant>
        <vt:i4>8</vt:i4>
      </vt:variant>
      <vt:variant>
        <vt:i4>0</vt:i4>
      </vt:variant>
      <vt:variant>
        <vt:i4>5</vt:i4>
      </vt:variant>
      <vt:variant>
        <vt:lpwstr>mailto:andrew.hutchings@lshtm.ac.uk</vt:lpwstr>
      </vt:variant>
      <vt:variant>
        <vt:lpwstr/>
      </vt:variant>
      <vt:variant>
        <vt:i4>4915310</vt:i4>
      </vt:variant>
      <vt:variant>
        <vt:i4>6</vt:i4>
      </vt:variant>
      <vt:variant>
        <vt:i4>0</vt:i4>
      </vt:variant>
      <vt:variant>
        <vt:i4>5</vt:i4>
      </vt:variant>
      <vt:variant>
        <vt:lpwstr>mailto:andrew.hutchings@lshtm.ac.uk</vt:lpwstr>
      </vt:variant>
      <vt:variant>
        <vt:lpwstr/>
      </vt:variant>
      <vt:variant>
        <vt:i4>7405635</vt:i4>
      </vt:variant>
      <vt:variant>
        <vt:i4>2</vt:i4>
      </vt:variant>
      <vt:variant>
        <vt:i4>0</vt:i4>
      </vt:variant>
      <vt:variant>
        <vt:i4>5</vt:i4>
      </vt:variant>
      <vt:variant>
        <vt:lpwstr>mailto:richard.grieve@lshtm.ac.uk</vt:lpwstr>
      </vt:variant>
      <vt:variant>
        <vt:lpwstr/>
      </vt:variant>
      <vt:variant>
        <vt:i4>7405635</vt:i4>
      </vt:variant>
      <vt:variant>
        <vt:i4>0</vt:i4>
      </vt:variant>
      <vt:variant>
        <vt:i4>0</vt:i4>
      </vt:variant>
      <vt:variant>
        <vt:i4>5</vt:i4>
      </vt:variant>
      <vt:variant>
        <vt:lpwstr>mailto:richard.grieve@lshtm.ac.uk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Grieve</dc:creator>
  <cp:keywords/>
  <dc:description/>
  <cp:lastModifiedBy>Euan Notley</cp:lastModifiedBy>
  <cp:revision>4</cp:revision>
  <cp:lastPrinted>2022-04-19T23:29:00Z</cp:lastPrinted>
  <dcterms:created xsi:type="dcterms:W3CDTF">2022-06-08T14:37:00Z</dcterms:created>
  <dcterms:modified xsi:type="dcterms:W3CDTF">2022-06-08T15:04:00Z</dcterms:modified>
</cp:coreProperties>
</file>